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914D6" w:rsidRDefault="002914D6">
      <w:pPr>
        <w:rPr>
          <w:rtl/>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2914D6">
        <w:trPr>
          <w:jc w:val="center"/>
        </w:trPr>
        <w:tc>
          <w:tcPr>
            <w:tcW w:w="743" w:type="dxa"/>
          </w:tcPr>
          <w:p w:rsidR="002914D6" w:rsidRDefault="00011212">
            <w:pPr>
              <w:jc w:val="both"/>
              <w:rPr>
                <w:rFonts w:ascii="Arial" w:hAnsi="Arial"/>
                <w:b/>
                <w:bCs/>
              </w:rPr>
            </w:pPr>
            <w:r>
              <w:rPr>
                <w:rFonts w:ascii="Arial" w:hAnsi="Arial" w:hint="cs"/>
                <w:b/>
                <w:bCs/>
                <w:rtl/>
              </w:rPr>
              <w:t>ב</w:t>
            </w:r>
            <w:r>
              <w:rPr>
                <w:rFonts w:ascii="Arial" w:hAnsi="Arial"/>
                <w:b/>
                <w:bCs/>
                <w:rtl/>
              </w:rPr>
              <w:t xml:space="preserve">פני </w:t>
            </w:r>
          </w:p>
        </w:tc>
        <w:tc>
          <w:tcPr>
            <w:tcW w:w="8077" w:type="dxa"/>
            <w:gridSpan w:val="2"/>
          </w:tcPr>
          <w:p w:rsidR="002914D6" w:rsidRDefault="00011212">
            <w:pPr>
              <w:rPr>
                <w:rtl/>
              </w:rPr>
            </w:pPr>
            <w:r>
              <w:rPr>
                <w:rFonts w:ascii="Arial" w:hAnsi="Arial" w:hint="cs"/>
                <w:b/>
                <w:bCs/>
                <w:rtl/>
              </w:rPr>
              <w:t>כב' ה</w:t>
            </w:r>
            <w:sdt>
              <w:sdtPr>
                <w:rPr>
                  <w:rtl/>
                </w:rPr>
                <w:alias w:val="1574"/>
                <w:tag w:val="1574"/>
                <w:id w:val="490682261"/>
                <w:text w:multiLine="1"/>
              </w:sdtPr>
              <w:sdtEndPr/>
              <w:sdtContent>
                <w:r>
                  <w:rPr>
                    <w:rFonts w:ascii="Arial" w:hAnsi="Arial"/>
                    <w:b/>
                    <w:bCs/>
                    <w:rtl/>
                  </w:rPr>
                  <w:t>שופטת</w:t>
                </w:r>
              </w:sdtContent>
            </w:sdt>
            <w:r>
              <w:rPr>
                <w:rFonts w:ascii="Arial" w:hAnsi="Arial" w:hint="cs"/>
                <w:b/>
                <w:bCs/>
                <w:rtl/>
              </w:rPr>
              <w:t xml:space="preserve">  </w:t>
            </w:r>
            <w:sdt>
              <w:sdtPr>
                <w:rPr>
                  <w:rtl/>
                </w:rPr>
                <w:alias w:val="1573"/>
                <w:tag w:val="1573"/>
                <w:id w:val="-1842311034"/>
                <w:text w:multiLine="1"/>
              </w:sdtPr>
              <w:sdtEndPr/>
              <w:sdtContent>
                <w:r>
                  <w:rPr>
                    <w:rFonts w:ascii="Arial" w:hAnsi="Arial"/>
                    <w:b/>
                    <w:bCs/>
                    <w:rtl/>
                  </w:rPr>
                  <w:t>סגלית אופק</w:t>
                </w:r>
              </w:sdtContent>
            </w:sdt>
          </w:p>
          <w:p w:rsidR="008B0E6A" w:rsidRDefault="008B0E6A">
            <w:pPr>
              <w:rPr>
                <w:rFonts w:ascii="Arial" w:hAnsi="Arial"/>
                <w:b/>
                <w:bCs/>
                <w:rtl/>
              </w:rPr>
            </w:pPr>
          </w:p>
          <w:p w:rsidR="002914D6" w:rsidRDefault="002914D6">
            <w:pPr>
              <w:rPr>
                <w:rFonts w:ascii="Arial" w:hAnsi="Arial" w:cs="FrankRuehl"/>
                <w:sz w:val="28"/>
                <w:szCs w:val="28"/>
                <w:highlight w:val="yellow"/>
              </w:rPr>
            </w:pPr>
          </w:p>
        </w:tc>
      </w:tr>
      <w:tr w:rsidR="002914D6">
        <w:trPr>
          <w:jc w:val="center"/>
        </w:trPr>
        <w:sdt>
          <w:sdtPr>
            <w:rPr>
              <w:rFonts w:ascii="Arial" w:hAnsi="Arial"/>
              <w:b/>
              <w:bCs/>
              <w:noProof w:val="0"/>
              <w:sz w:val="26"/>
              <w:szCs w:val="26"/>
            </w:rPr>
            <w:alias w:val="1180"/>
            <w:tag w:val="1180"/>
            <w:id w:val="108787784"/>
            <w:placeholder>
              <w:docPart w:val="31A55F6979184A8EB6F607B634EEB644"/>
            </w:placeholder>
            <w:text w:multiLine="1"/>
          </w:sdtPr>
          <w:sdtEndPr/>
          <w:sdtContent>
            <w:tc>
              <w:tcPr>
                <w:tcW w:w="3249" w:type="dxa"/>
                <w:gridSpan w:val="2"/>
              </w:tcPr>
              <w:p w:rsidR="002914D6" w:rsidRDefault="000A6D88" w:rsidP="000A6D88">
                <w:pPr>
                  <w:bidi w:val="0"/>
                  <w:jc w:val="right"/>
                  <w:rPr>
                    <w:rFonts w:ascii="Arial" w:hAnsi="Arial"/>
                    <w:b/>
                    <w:bCs/>
                    <w:noProof w:val="0"/>
                    <w:sz w:val="26"/>
                    <w:szCs w:val="26"/>
                    <w:rtl/>
                  </w:rPr>
                </w:pPr>
                <w:r>
                  <w:rPr>
                    <w:rFonts w:ascii="Arial" w:hAnsi="Arial" w:hint="cs"/>
                    <w:b/>
                    <w:bCs/>
                    <w:noProof w:val="0"/>
                    <w:sz w:val="26"/>
                    <w:szCs w:val="26"/>
                    <w:rtl/>
                  </w:rPr>
                  <w:t>תובעת</w:t>
                </w:r>
              </w:p>
            </w:tc>
          </w:sdtContent>
        </w:sdt>
        <w:tc>
          <w:tcPr>
            <w:tcW w:w="5571" w:type="dxa"/>
          </w:tcPr>
          <w:p w:rsidR="002914D6" w:rsidRDefault="00674B74" w:rsidP="00580552">
            <w:pPr>
              <w:rPr>
                <w:b/>
                <w:bCs/>
                <w:noProof w:val="0"/>
                <w:sz w:val="26"/>
                <w:szCs w:val="26"/>
                <w:rtl/>
              </w:rPr>
            </w:pPr>
            <w:sdt>
              <w:sdtPr>
                <w:rPr>
                  <w:rFonts w:hint="cs"/>
                  <w:b/>
                  <w:bCs/>
                  <w:noProof w:val="0"/>
                  <w:sz w:val="26"/>
                  <w:szCs w:val="26"/>
                  <w:rtl/>
                </w:rPr>
                <w:alias w:val="1478"/>
                <w:tag w:val="1478"/>
                <w:id w:val="614022805"/>
                <w:text w:multiLine="1"/>
              </w:sdtPr>
              <w:sdtEndPr/>
              <w:sdtContent>
                <w:r w:rsidR="00BD5B6B">
                  <w:rPr>
                    <w:rStyle w:val="ac"/>
                    <w:b/>
                    <w:bCs/>
                    <w:color w:val="auto"/>
                    <w:rtl/>
                  </w:rPr>
                  <w:t>י</w:t>
                </w:r>
                <w:r w:rsidR="00580552">
                  <w:rPr>
                    <w:rStyle w:val="ac"/>
                    <w:rFonts w:hint="cs"/>
                    <w:b/>
                    <w:bCs/>
                    <w:color w:val="auto"/>
                    <w:rtl/>
                  </w:rPr>
                  <w:t>.ב.</w:t>
                </w:r>
                <w:r w:rsidR="00BD5B6B">
                  <w:rPr>
                    <w:rStyle w:val="ac"/>
                    <w:b/>
                    <w:bCs/>
                    <w:color w:val="auto"/>
                    <w:rtl/>
                  </w:rPr>
                  <w:t>ג</w:t>
                </w:r>
              </w:sdtContent>
            </w:sdt>
            <w:r w:rsidR="00BD5B6B">
              <w:rPr>
                <w:rFonts w:hint="cs"/>
                <w:b/>
                <w:bCs/>
                <w:noProof w:val="0"/>
                <w:sz w:val="26"/>
                <w:szCs w:val="26"/>
                <w:rtl/>
              </w:rPr>
              <w:t xml:space="preserve"> </w:t>
            </w:r>
          </w:p>
          <w:p w:rsidR="008B0E6A" w:rsidRPr="008B0E6A" w:rsidRDefault="008B0E6A" w:rsidP="000A6D88">
            <w:pPr>
              <w:rPr>
                <w:noProof w:val="0"/>
              </w:rPr>
            </w:pPr>
            <w:r w:rsidRPr="008B0E6A">
              <w:rPr>
                <w:rFonts w:hint="cs"/>
                <w:noProof w:val="0"/>
                <w:rtl/>
              </w:rPr>
              <w:t xml:space="preserve">ע"י ב"כ עו"ד </w:t>
            </w:r>
            <w:r>
              <w:rPr>
                <w:rFonts w:hint="cs"/>
                <w:noProof w:val="0"/>
                <w:rtl/>
              </w:rPr>
              <w:t xml:space="preserve">א. גריידי </w:t>
            </w:r>
          </w:p>
        </w:tc>
      </w:tr>
      <w:tr w:rsidR="002914D6">
        <w:trPr>
          <w:jc w:val="center"/>
        </w:trPr>
        <w:tc>
          <w:tcPr>
            <w:tcW w:w="8820" w:type="dxa"/>
            <w:gridSpan w:val="3"/>
          </w:tcPr>
          <w:p w:rsidR="002914D6" w:rsidRPr="00580552" w:rsidRDefault="002914D6">
            <w:pPr>
              <w:rPr>
                <w:rFonts w:ascii="Arial" w:hAnsi="Arial"/>
                <w:b/>
                <w:bCs/>
                <w:noProof w:val="0"/>
                <w:sz w:val="26"/>
                <w:szCs w:val="26"/>
                <w:rtl/>
              </w:rPr>
            </w:pPr>
          </w:p>
          <w:p w:rsidR="008B0E6A" w:rsidRDefault="008B0E6A">
            <w:pPr>
              <w:rPr>
                <w:rFonts w:ascii="Arial" w:hAnsi="Arial"/>
                <w:b/>
                <w:bCs/>
                <w:noProof w:val="0"/>
                <w:sz w:val="26"/>
                <w:szCs w:val="26"/>
                <w:rtl/>
              </w:rPr>
            </w:pPr>
          </w:p>
          <w:p w:rsidR="002914D6" w:rsidRDefault="00011212">
            <w:pPr>
              <w:jc w:val="center"/>
              <w:rPr>
                <w:rFonts w:ascii="Arial" w:hAnsi="Arial"/>
                <w:b/>
                <w:bCs/>
                <w:noProof w:val="0"/>
                <w:sz w:val="26"/>
                <w:szCs w:val="26"/>
                <w:rtl/>
              </w:rPr>
            </w:pPr>
            <w:r>
              <w:rPr>
                <w:rFonts w:ascii="Arial" w:hAnsi="Arial"/>
                <w:b/>
                <w:bCs/>
                <w:noProof w:val="0"/>
                <w:sz w:val="26"/>
                <w:szCs w:val="26"/>
                <w:rtl/>
              </w:rPr>
              <w:t>נגד</w:t>
            </w:r>
          </w:p>
          <w:p w:rsidR="002914D6" w:rsidRDefault="002914D6">
            <w:pPr>
              <w:rPr>
                <w:rFonts w:ascii="Arial" w:hAnsi="Arial"/>
                <w:b/>
                <w:bCs/>
                <w:noProof w:val="0"/>
                <w:sz w:val="26"/>
                <w:szCs w:val="26"/>
                <w:rtl/>
              </w:rPr>
            </w:pPr>
          </w:p>
          <w:p w:rsidR="008B0E6A" w:rsidRDefault="008B0E6A">
            <w:pPr>
              <w:rPr>
                <w:rFonts w:ascii="Arial" w:hAnsi="Arial"/>
                <w:b/>
                <w:bCs/>
                <w:noProof w:val="0"/>
                <w:sz w:val="26"/>
                <w:szCs w:val="26"/>
              </w:rPr>
            </w:pPr>
          </w:p>
        </w:tc>
      </w:tr>
      <w:tr w:rsidR="002914D6">
        <w:trPr>
          <w:jc w:val="center"/>
        </w:trPr>
        <w:tc>
          <w:tcPr>
            <w:tcW w:w="3249" w:type="dxa"/>
            <w:gridSpan w:val="2"/>
          </w:tcPr>
          <w:p w:rsidR="002914D6" w:rsidRDefault="00674B74">
            <w:pPr>
              <w:rPr>
                <w:rFonts w:ascii="Arial" w:hAnsi="Arial"/>
                <w:b/>
                <w:bCs/>
                <w:noProof w:val="0"/>
                <w:sz w:val="26"/>
                <w:szCs w:val="26"/>
              </w:rPr>
            </w:pPr>
            <w:sdt>
              <w:sdtPr>
                <w:rPr>
                  <w:rtl/>
                </w:rPr>
                <w:alias w:val="1184"/>
                <w:tag w:val="1184"/>
                <w:id w:val="1218863978"/>
                <w:text w:multiLine="1"/>
              </w:sdtPr>
              <w:sdtEndPr/>
              <w:sdtContent>
                <w:r w:rsidR="008B0E6A">
                  <w:rPr>
                    <w:rFonts w:ascii="Arial" w:hAnsi="Arial"/>
                    <w:b/>
                    <w:bCs/>
                    <w:noProof w:val="0"/>
                    <w:sz w:val="26"/>
                    <w:szCs w:val="26"/>
                    <w:rtl/>
                  </w:rPr>
                  <w:t>נתבע</w:t>
                </w:r>
              </w:sdtContent>
            </w:sdt>
          </w:p>
        </w:tc>
        <w:tc>
          <w:tcPr>
            <w:tcW w:w="5571" w:type="dxa"/>
          </w:tcPr>
          <w:p w:rsidR="002914D6" w:rsidRDefault="00674B74" w:rsidP="00580552">
            <w:pPr>
              <w:rPr>
                <w:b/>
                <w:bCs/>
                <w:noProof w:val="0"/>
                <w:sz w:val="26"/>
                <w:szCs w:val="26"/>
                <w:rtl/>
              </w:rPr>
            </w:pPr>
            <w:sdt>
              <w:sdtPr>
                <w:rPr>
                  <w:rFonts w:hint="cs"/>
                  <w:b/>
                  <w:bCs/>
                  <w:noProof w:val="0"/>
                  <w:sz w:val="26"/>
                  <w:szCs w:val="26"/>
                  <w:rtl/>
                </w:rPr>
                <w:alias w:val="1486"/>
                <w:tag w:val="1486"/>
                <w:id w:val="-1492704729"/>
                <w:text w:multiLine="1"/>
              </w:sdtPr>
              <w:sdtEndPr/>
              <w:sdtContent>
                <w:r w:rsidR="00580552">
                  <w:rPr>
                    <w:rStyle w:val="ac"/>
                    <w:rFonts w:hint="cs"/>
                    <w:b/>
                    <w:bCs/>
                    <w:color w:val="auto"/>
                    <w:rtl/>
                  </w:rPr>
                  <w:t xml:space="preserve">א.ג </w:t>
                </w:r>
              </w:sdtContent>
            </w:sdt>
            <w:r w:rsidR="00BD5B6B">
              <w:rPr>
                <w:b/>
                <w:bCs/>
                <w:noProof w:val="0"/>
                <w:sz w:val="26"/>
                <w:szCs w:val="26"/>
                <w:rtl/>
              </w:rPr>
              <w:t xml:space="preserve"> </w:t>
            </w:r>
          </w:p>
          <w:p w:rsidR="008B0E6A" w:rsidRPr="008B0E6A" w:rsidRDefault="008B0E6A" w:rsidP="008B0E6A">
            <w:pPr>
              <w:rPr>
                <w:noProof w:val="0"/>
                <w:rtl/>
              </w:rPr>
            </w:pPr>
            <w:r w:rsidRPr="008B0E6A">
              <w:rPr>
                <w:rFonts w:hint="cs"/>
                <w:noProof w:val="0"/>
                <w:rtl/>
              </w:rPr>
              <w:t xml:space="preserve">ע"י ב"כ עו"ד </w:t>
            </w:r>
            <w:r>
              <w:rPr>
                <w:rFonts w:hint="cs"/>
                <w:noProof w:val="0"/>
                <w:rtl/>
              </w:rPr>
              <w:t xml:space="preserve">א. שפקמן </w:t>
            </w:r>
          </w:p>
        </w:tc>
      </w:tr>
    </w:tbl>
    <w:p w:rsidR="002914D6" w:rsidRDefault="008B0E6A">
      <w:r>
        <w:rPr>
          <w:rtl/>
        </w:rPr>
        <w:tab/>
      </w:r>
      <w:r>
        <w:rPr>
          <w:rtl/>
        </w:rPr>
        <w:tab/>
      </w:r>
      <w:r>
        <w:rPr>
          <w:rtl/>
        </w:rPr>
        <w:tab/>
      </w:r>
      <w:r>
        <w:rPr>
          <w:rtl/>
        </w:rPr>
        <w:tab/>
      </w:r>
      <w:r>
        <w:rPr>
          <w:rtl/>
        </w:rPr>
        <w:tab/>
      </w:r>
    </w:p>
    <w:p w:rsidR="002914D6" w:rsidRDefault="002914D6"/>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2914D6">
        <w:trPr>
          <w:jc w:val="center"/>
        </w:trPr>
        <w:tc>
          <w:tcPr>
            <w:tcW w:w="8820" w:type="dxa"/>
          </w:tcPr>
          <w:p w:rsidR="002914D6" w:rsidRDefault="002914D6">
            <w:pPr>
              <w:bidi w:val="0"/>
              <w:jc w:val="center"/>
              <w:rPr>
                <w:rFonts w:ascii="Arial" w:hAnsi="Arial"/>
                <w:b/>
                <w:bCs/>
                <w:noProof w:val="0"/>
                <w:sz w:val="28"/>
                <w:szCs w:val="28"/>
                <w:u w:val="single"/>
                <w:rtl/>
              </w:rPr>
            </w:pPr>
          </w:p>
        </w:tc>
      </w:tr>
    </w:tbl>
    <w:p w:rsidR="002914D6" w:rsidRDefault="002914D6">
      <w:pPr>
        <w:spacing w:line="360" w:lineRule="auto"/>
        <w:jc w:val="both"/>
        <w:rPr>
          <w:rFonts w:ascii="Arial" w:hAnsi="Arial"/>
          <w:noProof w:val="0"/>
          <w:rtl/>
        </w:rPr>
      </w:pPr>
    </w:p>
    <w:p w:rsidR="00A76863" w:rsidRDefault="00A76863" w:rsidP="00A76863">
      <w:pPr>
        <w:spacing w:line="306" w:lineRule="exact"/>
        <w:jc w:val="center"/>
        <w:rPr>
          <w:rFonts w:ascii="David" w:hAnsi="David"/>
          <w:b/>
          <w:bCs/>
          <w:noProof w:val="0"/>
          <w:spacing w:val="6"/>
          <w:sz w:val="27"/>
          <w:szCs w:val="27"/>
          <w:u w:val="thick"/>
        </w:rPr>
      </w:pPr>
      <w:r>
        <w:rPr>
          <w:rFonts w:ascii="David" w:hAnsi="David"/>
          <w:b/>
          <w:bCs/>
          <w:spacing w:val="6"/>
          <w:sz w:val="27"/>
          <w:szCs w:val="27"/>
          <w:u w:val="thick"/>
          <w:rtl/>
        </w:rPr>
        <w:t>פסק דין</w:t>
      </w:r>
    </w:p>
    <w:p w:rsidR="00A76863" w:rsidRDefault="00A76863" w:rsidP="00A76863">
      <w:pPr>
        <w:spacing w:line="306" w:lineRule="exact"/>
        <w:jc w:val="both"/>
        <w:rPr>
          <w:rFonts w:ascii="David" w:hAnsi="David"/>
          <w:spacing w:val="6"/>
          <w:rtl/>
        </w:rPr>
      </w:pPr>
    </w:p>
    <w:p w:rsidR="00A76863" w:rsidRDefault="00A76863" w:rsidP="00A76863">
      <w:pPr>
        <w:spacing w:line="306" w:lineRule="exact"/>
        <w:jc w:val="both"/>
        <w:rPr>
          <w:rFonts w:ascii="David" w:hAnsi="David"/>
          <w:spacing w:val="6"/>
          <w:rtl/>
        </w:rPr>
      </w:pPr>
      <w:r>
        <w:rPr>
          <w:rFonts w:ascii="David" w:hAnsi="David"/>
          <w:spacing w:val="6"/>
          <w:rtl/>
        </w:rPr>
        <w:t>לפניי תביעה "</w:t>
      </w:r>
      <w:r>
        <w:rPr>
          <w:rFonts w:ascii="Miriam" w:hAnsi="Miriam" w:cs="Miriam"/>
          <w:spacing w:val="6"/>
          <w:rtl/>
        </w:rPr>
        <w:t>כספית-הפרת חוזה/נזיקית</w:t>
      </w:r>
      <w:r>
        <w:rPr>
          <w:rFonts w:ascii="David" w:hAnsi="David"/>
          <w:spacing w:val="6"/>
          <w:rtl/>
        </w:rPr>
        <w:t>" שהגישה התובעת נגד בעלה לשעבר, הנתבע, לפיצוי כספי בסך של 500,000 ₪ בגין נזקים שנגרמו לה, לטענתה, בשל סירובו ליתן לה גט והפרת התחייבותו החוזית לעשות כן.</w:t>
      </w:r>
    </w:p>
    <w:p w:rsidR="00A76863" w:rsidRDefault="00A76863" w:rsidP="00A76863">
      <w:pPr>
        <w:spacing w:line="306" w:lineRule="exact"/>
        <w:jc w:val="both"/>
        <w:rPr>
          <w:rFonts w:ascii="David" w:hAnsi="David"/>
          <w:b/>
          <w:bCs/>
          <w:spacing w:val="6"/>
          <w:u w:val="thick"/>
          <w:rtl/>
        </w:rPr>
      </w:pPr>
    </w:p>
    <w:p w:rsidR="00A76863" w:rsidRDefault="00A76863" w:rsidP="00A76863">
      <w:pPr>
        <w:spacing w:line="306" w:lineRule="exact"/>
        <w:jc w:val="both"/>
        <w:rPr>
          <w:rFonts w:ascii="David" w:hAnsi="David"/>
          <w:b/>
          <w:bCs/>
          <w:spacing w:val="6"/>
          <w:u w:val="thick"/>
          <w:rtl/>
        </w:rPr>
      </w:pPr>
      <w:r>
        <w:rPr>
          <w:rFonts w:ascii="David" w:hAnsi="David"/>
          <w:b/>
          <w:bCs/>
          <w:spacing w:val="6"/>
          <w:u w:val="thick"/>
          <w:rtl/>
        </w:rPr>
        <w:t>תמצית העובדות</w:t>
      </w:r>
    </w:p>
    <w:p w:rsidR="00A76863" w:rsidRDefault="00A76863" w:rsidP="00A76863">
      <w:pPr>
        <w:spacing w:line="306" w:lineRule="exact"/>
        <w:jc w:val="both"/>
        <w:rPr>
          <w:rFonts w:ascii="David" w:hAnsi="David"/>
          <w:b/>
          <w:bCs/>
          <w:spacing w:val="6"/>
          <w:u w:val="thick"/>
          <w:rtl/>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התובעת ילידת 22.8.1971 והנתבע יליד 29.8.1971 יהודים, נישאו זל"ז כדמו"י ביום 7.11.1994, ומנישואים אלה נולדו להם 5 ילדים.</w:t>
      </w:r>
    </w:p>
    <w:p w:rsidR="00A76863" w:rsidRDefault="00A76863" w:rsidP="00A76863">
      <w:pPr>
        <w:pStyle w:val="ad"/>
        <w:spacing w:after="0" w:line="306" w:lineRule="exact"/>
        <w:ind w:left="509"/>
        <w:jc w:val="both"/>
        <w:rPr>
          <w:rFonts w:ascii="David" w:hAnsi="David" w:cs="David"/>
          <w:spacing w:val="6"/>
          <w:sz w:val="24"/>
          <w:szCs w:val="24"/>
        </w:rPr>
      </w:pPr>
    </w:p>
    <w:p w:rsidR="00A76863" w:rsidRPr="00580552" w:rsidRDefault="00A76863" w:rsidP="00580552">
      <w:pPr>
        <w:pStyle w:val="ad"/>
        <w:numPr>
          <w:ilvl w:val="0"/>
          <w:numId w:val="2"/>
        </w:numPr>
        <w:spacing w:after="0" w:line="306" w:lineRule="exact"/>
        <w:ind w:left="509"/>
        <w:jc w:val="both"/>
        <w:rPr>
          <w:rFonts w:ascii="David" w:hAnsi="David" w:cs="David"/>
          <w:spacing w:val="6"/>
          <w:sz w:val="24"/>
          <w:szCs w:val="24"/>
        </w:rPr>
      </w:pPr>
      <w:r w:rsidRPr="00580552">
        <w:rPr>
          <w:rFonts w:ascii="David" w:hAnsi="David" w:cs="David"/>
          <w:spacing w:val="6"/>
          <w:sz w:val="24"/>
          <w:szCs w:val="24"/>
          <w:rtl/>
        </w:rPr>
        <w:t xml:space="preserve">הצדדים התגוררו יחד בדירה שהייתה בבעלותם ברחוב </w:t>
      </w:r>
      <w:r w:rsidR="00580552" w:rsidRPr="00580552">
        <w:rPr>
          <w:rFonts w:ascii="David" w:hAnsi="David" w:cs="David" w:hint="cs"/>
          <w:spacing w:val="6"/>
          <w:sz w:val="24"/>
          <w:szCs w:val="24"/>
        </w:rPr>
        <w:t>XXX</w:t>
      </w:r>
      <w:r w:rsidR="00580552" w:rsidRPr="00580552">
        <w:rPr>
          <w:rFonts w:ascii="David" w:hAnsi="David" w:cs="David" w:hint="cs"/>
          <w:spacing w:val="6"/>
          <w:sz w:val="24"/>
          <w:szCs w:val="24"/>
          <w:rtl/>
        </w:rPr>
        <w:t xml:space="preserve"> ב </w:t>
      </w:r>
      <w:r w:rsidR="00580552" w:rsidRPr="00580552">
        <w:rPr>
          <w:rFonts w:ascii="David" w:hAnsi="David" w:cs="David" w:hint="cs"/>
          <w:spacing w:val="6"/>
          <w:sz w:val="24"/>
          <w:szCs w:val="24"/>
        </w:rPr>
        <w:t xml:space="preserve">XXX </w:t>
      </w:r>
      <w:r w:rsidRPr="00580552">
        <w:rPr>
          <w:rFonts w:ascii="David" w:hAnsi="David" w:cs="David"/>
          <w:spacing w:val="6"/>
          <w:sz w:val="24"/>
          <w:szCs w:val="24"/>
          <w:rtl/>
        </w:rPr>
        <w:t xml:space="preserve"> (להלן – </w:t>
      </w:r>
      <w:r w:rsidRPr="00580552">
        <w:rPr>
          <w:rFonts w:ascii="David" w:hAnsi="David" w:cs="David"/>
          <w:b/>
          <w:bCs/>
          <w:spacing w:val="6"/>
          <w:sz w:val="24"/>
          <w:szCs w:val="24"/>
          <w:rtl/>
        </w:rPr>
        <w:t>דירת המגורים</w:t>
      </w:r>
      <w:r w:rsidRPr="00580552">
        <w:rPr>
          <w:rFonts w:ascii="David" w:hAnsi="David" w:cs="David"/>
          <w:spacing w:val="6"/>
          <w:sz w:val="24"/>
          <w:szCs w:val="24"/>
          <w:rtl/>
        </w:rPr>
        <w:t xml:space="preserve">). </w:t>
      </w:r>
    </w:p>
    <w:p w:rsidR="00A76863" w:rsidRDefault="00A76863" w:rsidP="00A76863">
      <w:pPr>
        <w:pStyle w:val="ad"/>
        <w:spacing w:after="0" w:line="306" w:lineRule="exact"/>
        <w:ind w:left="509"/>
        <w:jc w:val="both"/>
        <w:rPr>
          <w:rFonts w:ascii="David" w:hAnsi="David" w:cs="David"/>
          <w:spacing w:val="6"/>
          <w:sz w:val="24"/>
          <w:szCs w:val="24"/>
        </w:rPr>
      </w:pPr>
    </w:p>
    <w:p w:rsidR="00A76863" w:rsidRDefault="00A76863" w:rsidP="00CA6B1F">
      <w:pPr>
        <w:pStyle w:val="ad"/>
        <w:numPr>
          <w:ilvl w:val="0"/>
          <w:numId w:val="2"/>
        </w:numPr>
        <w:spacing w:after="0" w:line="306" w:lineRule="exact"/>
        <w:ind w:left="509"/>
        <w:jc w:val="both"/>
        <w:rPr>
          <w:rFonts w:ascii="David" w:hAnsi="David" w:cs="David"/>
          <w:spacing w:val="6"/>
          <w:sz w:val="24"/>
          <w:szCs w:val="24"/>
        </w:rPr>
      </w:pPr>
      <w:r>
        <w:rPr>
          <w:rFonts w:ascii="David" w:hAnsi="David" w:cs="David"/>
          <w:spacing w:val="6"/>
          <w:sz w:val="24"/>
          <w:szCs w:val="24"/>
          <w:rtl/>
        </w:rPr>
        <w:t>גבה טורא בין הצדדים</w:t>
      </w:r>
      <w:r w:rsidR="00CA6B1F">
        <w:rPr>
          <w:rFonts w:ascii="David" w:hAnsi="David" w:cs="David" w:hint="cs"/>
          <w:spacing w:val="6"/>
          <w:sz w:val="24"/>
          <w:szCs w:val="24"/>
          <w:rtl/>
        </w:rPr>
        <w:t>; הליך יישוב סכסוך הסתיים ללא הבנות (י"ס 15203-03-19) ו</w:t>
      </w:r>
      <w:r>
        <w:rPr>
          <w:rFonts w:ascii="David" w:hAnsi="David" w:cs="David"/>
          <w:spacing w:val="6"/>
          <w:sz w:val="24"/>
          <w:szCs w:val="24"/>
          <w:rtl/>
        </w:rPr>
        <w:t>הוגשו הליכים משפטיים הדדיים (תלה"מ 8945-05-19; תלה"מ 12476-05-19; תלה"מ 8893-05-19</w:t>
      </w:r>
      <w:r w:rsidR="00CA6B1F">
        <w:rPr>
          <w:rFonts w:ascii="David" w:hAnsi="David" w:cs="David" w:hint="cs"/>
          <w:spacing w:val="6"/>
          <w:sz w:val="24"/>
          <w:szCs w:val="24"/>
          <w:rtl/>
        </w:rPr>
        <w:t xml:space="preserve">; </w:t>
      </w:r>
      <w:r w:rsidR="00CA6B1F">
        <w:rPr>
          <w:rFonts w:ascii="David" w:hAnsi="David" w:cs="David"/>
          <w:spacing w:val="6"/>
          <w:sz w:val="24"/>
          <w:szCs w:val="24"/>
          <w:rtl/>
        </w:rPr>
        <w:t>ה"ט 25978-07-19</w:t>
      </w:r>
      <w:r>
        <w:rPr>
          <w:rFonts w:ascii="David" w:hAnsi="David" w:cs="David"/>
          <w:spacing w:val="6"/>
          <w:sz w:val="24"/>
          <w:szCs w:val="24"/>
          <w:rtl/>
        </w:rPr>
        <w:t xml:space="preserve">). </w:t>
      </w:r>
    </w:p>
    <w:p w:rsidR="00A76863" w:rsidRPr="00CA6B1F" w:rsidRDefault="00A76863" w:rsidP="00A76863">
      <w:pPr>
        <w:pStyle w:val="ad"/>
        <w:spacing w:after="0" w:line="306" w:lineRule="exact"/>
        <w:rPr>
          <w:rFonts w:ascii="David" w:hAnsi="David" w:cs="David"/>
          <w:spacing w:val="6"/>
          <w:sz w:val="24"/>
          <w:szCs w:val="24"/>
        </w:rPr>
      </w:pPr>
    </w:p>
    <w:p w:rsidR="00A76863" w:rsidRDefault="00A76863" w:rsidP="00CA6B1F">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ביום 18.6.2020 </w:t>
      </w:r>
      <w:r w:rsidR="00CA6B1F">
        <w:rPr>
          <w:rFonts w:ascii="David" w:hAnsi="David" w:cs="David" w:hint="cs"/>
          <w:spacing w:val="6"/>
          <w:sz w:val="24"/>
          <w:szCs w:val="24"/>
          <w:rtl/>
        </w:rPr>
        <w:t xml:space="preserve">הסתיימו </w:t>
      </w:r>
      <w:r>
        <w:rPr>
          <w:rFonts w:ascii="David" w:hAnsi="David" w:cs="David"/>
          <w:spacing w:val="6"/>
          <w:sz w:val="24"/>
          <w:szCs w:val="24"/>
          <w:rtl/>
        </w:rPr>
        <w:t>החיים תחת קורת גג אחת עת עזבה התובעת את דירת המגורים ועברה יחד עם הבן הצעיר להתגורר בדירה שכורה (ת/ח').</w:t>
      </w:r>
    </w:p>
    <w:p w:rsidR="00A76863" w:rsidRDefault="00A76863" w:rsidP="00A76863">
      <w:pPr>
        <w:pStyle w:val="ad"/>
        <w:spacing w:after="0" w:line="306" w:lineRule="exact"/>
        <w:rPr>
          <w:rFonts w:ascii="David" w:hAnsi="David" w:cs="David"/>
          <w:spacing w:val="6"/>
          <w:sz w:val="24"/>
          <w:szCs w:val="24"/>
        </w:rPr>
      </w:pPr>
    </w:p>
    <w:p w:rsidR="00A76863" w:rsidRDefault="00A76863" w:rsidP="00CA6B1F">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ביום 22.11.2021</w:t>
      </w:r>
      <w:r w:rsidR="002E1FFF">
        <w:rPr>
          <w:rFonts w:ascii="David" w:hAnsi="David" w:cs="David" w:hint="cs"/>
          <w:spacing w:val="6"/>
          <w:sz w:val="24"/>
          <w:szCs w:val="24"/>
          <w:rtl/>
        </w:rPr>
        <w:t>,</w:t>
      </w:r>
      <w:r>
        <w:rPr>
          <w:rFonts w:ascii="David" w:hAnsi="David" w:cs="David"/>
          <w:spacing w:val="6"/>
          <w:sz w:val="24"/>
          <w:szCs w:val="24"/>
          <w:rtl/>
        </w:rPr>
        <w:t xml:space="preserve"> </w:t>
      </w:r>
      <w:r w:rsidR="002E1FFF">
        <w:rPr>
          <w:rFonts w:ascii="David" w:hAnsi="David" w:cs="David" w:hint="cs"/>
          <w:spacing w:val="6"/>
          <w:sz w:val="24"/>
          <w:szCs w:val="24"/>
          <w:rtl/>
        </w:rPr>
        <w:t xml:space="preserve">בגדרי הליך כינוס נכסים, </w:t>
      </w:r>
      <w:r>
        <w:rPr>
          <w:rFonts w:ascii="David" w:hAnsi="David" w:cs="David"/>
          <w:spacing w:val="6"/>
          <w:sz w:val="24"/>
          <w:szCs w:val="24"/>
          <w:rtl/>
        </w:rPr>
        <w:t>חתמו הצדדים על הסכם למכירת דירת המגורים</w:t>
      </w:r>
      <w:r w:rsidR="00CA6B1F">
        <w:rPr>
          <w:rFonts w:ascii="David" w:hAnsi="David" w:cs="David" w:hint="cs"/>
          <w:spacing w:val="6"/>
          <w:sz w:val="24"/>
          <w:szCs w:val="24"/>
          <w:rtl/>
        </w:rPr>
        <w:t xml:space="preserve"> (בקשה מס' 24 תלה"מ 8893-05-19)</w:t>
      </w:r>
      <w:r>
        <w:rPr>
          <w:rFonts w:ascii="David" w:hAnsi="David" w:cs="David"/>
          <w:spacing w:val="6"/>
          <w:sz w:val="24"/>
          <w:szCs w:val="24"/>
          <w:rtl/>
        </w:rPr>
        <w:t>.</w:t>
      </w:r>
    </w:p>
    <w:p w:rsidR="00A76863" w:rsidRDefault="00A76863" w:rsidP="00A76863">
      <w:pPr>
        <w:spacing w:line="306" w:lineRule="exact"/>
        <w:rPr>
          <w:rFonts w:ascii="David" w:hAnsi="David"/>
          <w:b/>
          <w:bCs/>
          <w:spacing w:val="6"/>
          <w:u w:val="single"/>
          <w:rtl/>
        </w:rPr>
      </w:pPr>
    </w:p>
    <w:p w:rsidR="008B0E6A" w:rsidRDefault="008B0E6A" w:rsidP="00A76863">
      <w:pPr>
        <w:spacing w:line="306" w:lineRule="exact"/>
        <w:rPr>
          <w:rFonts w:ascii="David" w:hAnsi="David"/>
          <w:b/>
          <w:bCs/>
          <w:spacing w:val="6"/>
          <w:u w:val="single"/>
          <w:rtl/>
        </w:rPr>
      </w:pPr>
    </w:p>
    <w:p w:rsidR="008B0E6A" w:rsidRDefault="008B0E6A" w:rsidP="00A76863">
      <w:pPr>
        <w:spacing w:line="306" w:lineRule="exact"/>
        <w:rPr>
          <w:rFonts w:ascii="David" w:hAnsi="David"/>
          <w:b/>
          <w:bCs/>
          <w:spacing w:val="6"/>
          <w:u w:val="single"/>
        </w:rPr>
      </w:pPr>
    </w:p>
    <w:p w:rsidR="00A76863" w:rsidRDefault="00A76863" w:rsidP="00A76863">
      <w:pPr>
        <w:spacing w:line="306" w:lineRule="exact"/>
        <w:rPr>
          <w:rFonts w:ascii="David" w:hAnsi="David"/>
          <w:b/>
          <w:bCs/>
          <w:spacing w:val="6"/>
          <w:u w:val="single"/>
          <w:rtl/>
        </w:rPr>
      </w:pPr>
      <w:r>
        <w:rPr>
          <w:rFonts w:ascii="David" w:hAnsi="David"/>
          <w:b/>
          <w:bCs/>
          <w:spacing w:val="6"/>
          <w:u w:val="single"/>
          <w:rtl/>
        </w:rPr>
        <w:lastRenderedPageBreak/>
        <w:t xml:space="preserve">ההליכים המשפטיים </w:t>
      </w:r>
    </w:p>
    <w:p w:rsidR="00A76863" w:rsidRDefault="00A76863" w:rsidP="00A76863">
      <w:pPr>
        <w:spacing w:line="306" w:lineRule="exact"/>
        <w:rPr>
          <w:rFonts w:ascii="David" w:hAnsi="David"/>
          <w:b/>
          <w:bCs/>
          <w:spacing w:val="6"/>
          <w:u w:val="single"/>
          <w:rtl/>
        </w:rPr>
      </w:pPr>
    </w:p>
    <w:p w:rsidR="00A76863" w:rsidRDefault="00A76863" w:rsidP="002E1FFF">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ביום 11.7.2019, בסיוע בית המשפט, הגיעו הצדדים </w:t>
      </w:r>
      <w:r w:rsidR="002E1FFF">
        <w:rPr>
          <w:rFonts w:ascii="David" w:hAnsi="David" w:cs="David" w:hint="cs"/>
          <w:spacing w:val="6"/>
          <w:sz w:val="24"/>
          <w:szCs w:val="24"/>
          <w:rtl/>
        </w:rPr>
        <w:t xml:space="preserve">להסכם המסדיר את העניינים הכרוכים בגירושין </w:t>
      </w:r>
      <w:r>
        <w:rPr>
          <w:rFonts w:ascii="David" w:hAnsi="David" w:cs="David"/>
          <w:spacing w:val="6"/>
          <w:sz w:val="24"/>
          <w:szCs w:val="24"/>
          <w:rtl/>
        </w:rPr>
        <w:t xml:space="preserve">וחלוקת הרכוש ביניהם </w:t>
      </w:r>
      <w:r w:rsidR="002E1FFF">
        <w:rPr>
          <w:rFonts w:ascii="David" w:hAnsi="David" w:cs="David" w:hint="cs"/>
          <w:spacing w:val="6"/>
          <w:sz w:val="24"/>
          <w:szCs w:val="24"/>
          <w:rtl/>
        </w:rPr>
        <w:t xml:space="preserve">(תלה"מ </w:t>
      </w:r>
      <w:r w:rsidR="00A86B70">
        <w:rPr>
          <w:rFonts w:ascii="David" w:hAnsi="David" w:cs="David" w:hint="cs"/>
          <w:spacing w:val="6"/>
          <w:sz w:val="24"/>
          <w:szCs w:val="24"/>
          <w:rtl/>
        </w:rPr>
        <w:t xml:space="preserve">8945-05-19) </w:t>
      </w:r>
      <w:r>
        <w:rPr>
          <w:rFonts w:ascii="David" w:hAnsi="David" w:cs="David"/>
          <w:spacing w:val="6"/>
          <w:sz w:val="24"/>
          <w:szCs w:val="24"/>
          <w:rtl/>
        </w:rPr>
        <w:t xml:space="preserve">(להלן – </w:t>
      </w:r>
      <w:r>
        <w:rPr>
          <w:rFonts w:ascii="David" w:hAnsi="David" w:cs="David"/>
          <w:b/>
          <w:bCs/>
          <w:spacing w:val="6"/>
          <w:sz w:val="24"/>
          <w:szCs w:val="24"/>
          <w:rtl/>
        </w:rPr>
        <w:t>ההסכם</w:t>
      </w:r>
      <w:r>
        <w:rPr>
          <w:rFonts w:ascii="David" w:hAnsi="David" w:cs="David"/>
          <w:spacing w:val="6"/>
          <w:sz w:val="24"/>
          <w:szCs w:val="24"/>
          <w:rtl/>
        </w:rPr>
        <w:t xml:space="preserve">) (ת/א'). </w:t>
      </w:r>
    </w:p>
    <w:p w:rsidR="00A76863" w:rsidRDefault="00A76863" w:rsidP="00A76863">
      <w:pPr>
        <w:pStyle w:val="ad"/>
        <w:spacing w:after="0" w:line="306" w:lineRule="exact"/>
        <w:ind w:left="509"/>
        <w:jc w:val="both"/>
        <w:rPr>
          <w:rFonts w:ascii="David" w:hAnsi="David" w:cs="David"/>
          <w:spacing w:val="6"/>
          <w:sz w:val="24"/>
          <w:szCs w:val="24"/>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Pr>
      </w:pPr>
      <w:r>
        <w:rPr>
          <w:rFonts w:ascii="David" w:hAnsi="David" w:cs="David"/>
          <w:spacing w:val="6"/>
          <w:sz w:val="24"/>
          <w:szCs w:val="24"/>
          <w:rtl/>
        </w:rPr>
        <w:t>בסעיף 1 להסכם התחייבו הצדדים, כי "</w:t>
      </w:r>
      <w:r>
        <w:rPr>
          <w:rFonts w:ascii="Miriam" w:hAnsi="Miriam" w:cs="Miriam"/>
          <w:spacing w:val="6"/>
          <w:sz w:val="24"/>
          <w:szCs w:val="24"/>
          <w:rtl/>
        </w:rPr>
        <w:t>...יגישו בתוך 7 ימים בקשה משותפת לבית הדין הרבני לקבלת פסק דין לגירושין וסידור הגט. הבעל ייתן גט והאישה תקבל את הגט</w:t>
      </w:r>
      <w:r>
        <w:rPr>
          <w:rFonts w:ascii="David" w:hAnsi="David" w:cs="David"/>
          <w:spacing w:val="6"/>
          <w:sz w:val="24"/>
          <w:szCs w:val="24"/>
          <w:rtl/>
        </w:rPr>
        <w:t>".</w:t>
      </w:r>
    </w:p>
    <w:p w:rsidR="00A76863" w:rsidRDefault="00A76863" w:rsidP="00A76863">
      <w:pPr>
        <w:pStyle w:val="ad"/>
        <w:spacing w:after="0" w:line="306" w:lineRule="exact"/>
        <w:rPr>
          <w:rFonts w:ascii="David" w:hAnsi="David" w:cs="David"/>
          <w:spacing w:val="6"/>
          <w:sz w:val="24"/>
          <w:szCs w:val="24"/>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הוראות ההסכם אושרו על ידי בית המשפט, מלבד הסעיפים המתייחסים לסידור הגט, וניתן לסעיפים שאושרו תוקף של פסק דין</w:t>
      </w:r>
      <w:r w:rsidR="002E1FFF">
        <w:rPr>
          <w:rFonts w:ascii="David" w:hAnsi="David" w:cs="David" w:hint="cs"/>
          <w:spacing w:val="6"/>
          <w:sz w:val="24"/>
          <w:szCs w:val="24"/>
          <w:rtl/>
        </w:rPr>
        <w:t xml:space="preserve"> (שם, עמ' </w:t>
      </w:r>
      <w:r w:rsidR="00A86B70">
        <w:rPr>
          <w:rFonts w:ascii="David" w:hAnsi="David" w:cs="David" w:hint="cs"/>
          <w:spacing w:val="6"/>
          <w:sz w:val="24"/>
          <w:szCs w:val="24"/>
          <w:rtl/>
        </w:rPr>
        <w:t>19, ש' 28-24)</w:t>
      </w:r>
      <w:r>
        <w:rPr>
          <w:rFonts w:ascii="David" w:hAnsi="David" w:cs="David"/>
          <w:spacing w:val="6"/>
          <w:sz w:val="24"/>
          <w:szCs w:val="24"/>
          <w:rtl/>
        </w:rPr>
        <w:t>.</w:t>
      </w:r>
    </w:p>
    <w:p w:rsidR="00A76863" w:rsidRDefault="00A76863" w:rsidP="00A76863">
      <w:pPr>
        <w:spacing w:line="306" w:lineRule="exact"/>
        <w:jc w:val="both"/>
        <w:rPr>
          <w:rFonts w:ascii="David" w:hAnsi="David"/>
          <w:spacing w:val="6"/>
        </w:rPr>
      </w:pPr>
    </w:p>
    <w:p w:rsidR="00A76863" w:rsidRDefault="00A76863" w:rsidP="00A86B70">
      <w:pPr>
        <w:spacing w:line="306" w:lineRule="exact"/>
        <w:ind w:left="149"/>
        <w:jc w:val="both"/>
        <w:rPr>
          <w:rFonts w:ascii="David" w:hAnsi="David"/>
          <w:spacing w:val="6"/>
          <w:u w:val="single"/>
          <w:rtl/>
        </w:rPr>
      </w:pPr>
      <w:r>
        <w:rPr>
          <w:rFonts w:ascii="David" w:hAnsi="David"/>
          <w:spacing w:val="6"/>
          <w:u w:val="single"/>
          <w:rtl/>
        </w:rPr>
        <w:t>השתלשלות ההליכים בבי</w:t>
      </w:r>
      <w:r w:rsidR="00A86B70">
        <w:rPr>
          <w:rFonts w:ascii="David" w:hAnsi="David" w:hint="cs"/>
          <w:spacing w:val="6"/>
          <w:u w:val="single"/>
          <w:rtl/>
        </w:rPr>
        <w:t xml:space="preserve">ת הדין </w:t>
      </w:r>
      <w:r>
        <w:rPr>
          <w:rFonts w:ascii="David" w:hAnsi="David"/>
          <w:spacing w:val="6"/>
          <w:u w:val="single"/>
          <w:rtl/>
        </w:rPr>
        <w:t>הרבני</w:t>
      </w:r>
    </w:p>
    <w:p w:rsidR="00A76863" w:rsidRDefault="00A76863" w:rsidP="00A76863">
      <w:pPr>
        <w:pStyle w:val="ad"/>
        <w:spacing w:after="0" w:line="306" w:lineRule="exact"/>
        <w:ind w:left="509"/>
        <w:jc w:val="both"/>
        <w:rPr>
          <w:rFonts w:ascii="David" w:hAnsi="David" w:cs="David"/>
          <w:spacing w:val="6"/>
          <w:sz w:val="24"/>
          <w:szCs w:val="24"/>
          <w:rtl/>
        </w:rPr>
      </w:pPr>
    </w:p>
    <w:p w:rsidR="00A86B70" w:rsidRDefault="00A76863" w:rsidP="00A76863">
      <w:pPr>
        <w:pStyle w:val="ad"/>
        <w:numPr>
          <w:ilvl w:val="0"/>
          <w:numId w:val="2"/>
        </w:numPr>
        <w:spacing w:after="0" w:line="306" w:lineRule="exact"/>
        <w:ind w:left="509"/>
        <w:jc w:val="both"/>
        <w:rPr>
          <w:rFonts w:ascii="David" w:hAnsi="David" w:cs="David"/>
          <w:spacing w:val="6"/>
          <w:sz w:val="24"/>
          <w:szCs w:val="24"/>
        </w:rPr>
      </w:pPr>
      <w:r>
        <w:rPr>
          <w:rFonts w:ascii="David" w:hAnsi="David" w:cs="David"/>
          <w:spacing w:val="6"/>
          <w:sz w:val="24"/>
          <w:szCs w:val="24"/>
          <w:rtl/>
        </w:rPr>
        <w:t xml:space="preserve">ביום 16.7.2019 הגישה התובעת לבית הדין הרבני האזורי בתל אביב יפו (להלן – </w:t>
      </w:r>
      <w:r>
        <w:rPr>
          <w:rFonts w:ascii="David" w:hAnsi="David" w:cs="David"/>
          <w:b/>
          <w:bCs/>
          <w:spacing w:val="6"/>
          <w:sz w:val="24"/>
          <w:szCs w:val="24"/>
          <w:rtl/>
        </w:rPr>
        <w:t>בית הדין</w:t>
      </w:r>
      <w:r>
        <w:rPr>
          <w:rFonts w:ascii="David" w:hAnsi="David" w:cs="David"/>
          <w:spacing w:val="6"/>
          <w:sz w:val="24"/>
          <w:szCs w:val="24"/>
          <w:rtl/>
        </w:rPr>
        <w:t xml:space="preserve">) בקשה משותפת לגירושין (ת/ב'). </w:t>
      </w:r>
    </w:p>
    <w:p w:rsidR="00A86B70" w:rsidRDefault="00A86B70" w:rsidP="00A86B70">
      <w:pPr>
        <w:pStyle w:val="ad"/>
        <w:spacing w:after="0" w:line="306" w:lineRule="exact"/>
        <w:ind w:left="509"/>
        <w:jc w:val="both"/>
        <w:rPr>
          <w:rFonts w:ascii="David" w:hAnsi="David" w:cs="David"/>
          <w:spacing w:val="6"/>
          <w:sz w:val="24"/>
          <w:szCs w:val="24"/>
          <w:rtl/>
        </w:rPr>
      </w:pPr>
    </w:p>
    <w:p w:rsidR="00A76863" w:rsidRDefault="00A76863" w:rsidP="00A86B70">
      <w:pPr>
        <w:pStyle w:val="ad"/>
        <w:spacing w:after="0" w:line="306" w:lineRule="exact"/>
        <w:ind w:left="509"/>
        <w:jc w:val="both"/>
        <w:rPr>
          <w:rFonts w:ascii="David" w:hAnsi="David" w:cs="David"/>
          <w:spacing w:val="6"/>
          <w:sz w:val="24"/>
          <w:szCs w:val="24"/>
        </w:rPr>
      </w:pPr>
      <w:r>
        <w:rPr>
          <w:rFonts w:ascii="David" w:hAnsi="David" w:cs="David"/>
          <w:spacing w:val="6"/>
          <w:sz w:val="24"/>
          <w:szCs w:val="24"/>
          <w:rtl/>
        </w:rPr>
        <w:t>ביום 13.8.2019 ביטל בית הדין את הדיון שנקבע בפניו לנוכח הודעתו של הנתבע על סירובו להתגרש ורצונו בשלום בית (ת/ד').</w:t>
      </w:r>
    </w:p>
    <w:p w:rsidR="00A76863" w:rsidRPr="00A86B70" w:rsidRDefault="00A76863" w:rsidP="00A76863">
      <w:pPr>
        <w:pStyle w:val="ad"/>
        <w:spacing w:after="0" w:line="306" w:lineRule="exact"/>
        <w:rPr>
          <w:rFonts w:ascii="David" w:hAnsi="David" w:cs="David"/>
          <w:spacing w:val="6"/>
          <w:sz w:val="24"/>
          <w:szCs w:val="24"/>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ביום 14.7.2020 הגישה התובעת "</w:t>
      </w:r>
      <w:r>
        <w:rPr>
          <w:rFonts w:ascii="Miriam" w:hAnsi="Miriam" w:cs="Miriam"/>
          <w:spacing w:val="6"/>
          <w:sz w:val="24"/>
          <w:szCs w:val="24"/>
          <w:rtl/>
        </w:rPr>
        <w:t>תביעת גירושין, כתובה, פיצויים, מזונות אישה</w:t>
      </w:r>
      <w:r>
        <w:rPr>
          <w:rFonts w:ascii="David" w:hAnsi="David" w:cs="David"/>
          <w:spacing w:val="6"/>
          <w:sz w:val="24"/>
          <w:szCs w:val="24"/>
          <w:rtl/>
        </w:rPr>
        <w:t xml:space="preserve">" (להלן – </w:t>
      </w:r>
      <w:r>
        <w:rPr>
          <w:rFonts w:ascii="David" w:hAnsi="David" w:cs="David"/>
          <w:b/>
          <w:bCs/>
          <w:spacing w:val="6"/>
          <w:sz w:val="24"/>
          <w:szCs w:val="24"/>
          <w:rtl/>
        </w:rPr>
        <w:t>תביעת הגירושין</w:t>
      </w:r>
      <w:r>
        <w:rPr>
          <w:rFonts w:ascii="David" w:hAnsi="David" w:cs="David"/>
          <w:spacing w:val="6"/>
          <w:sz w:val="24"/>
          <w:szCs w:val="24"/>
          <w:rtl/>
        </w:rPr>
        <w:t>) (נ/ה').</w:t>
      </w:r>
    </w:p>
    <w:p w:rsidR="00A76863" w:rsidRDefault="00A76863" w:rsidP="00A76863">
      <w:pPr>
        <w:pStyle w:val="ad"/>
        <w:spacing w:after="0" w:line="306" w:lineRule="exact"/>
        <w:rPr>
          <w:rFonts w:ascii="David" w:hAnsi="David" w:cs="David"/>
          <w:spacing w:val="6"/>
          <w:sz w:val="24"/>
          <w:szCs w:val="24"/>
        </w:rPr>
      </w:pPr>
    </w:p>
    <w:p w:rsidR="00A76863" w:rsidRDefault="00A76863" w:rsidP="00A86B70">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דיון בתביעת הגירושין נקבע בבית הדין ליום 12.10.2020 (נ/ו')</w:t>
      </w:r>
      <w:r w:rsidR="00A86B70">
        <w:rPr>
          <w:rFonts w:ascii="David" w:hAnsi="David" w:cs="David" w:hint="cs"/>
          <w:spacing w:val="6"/>
          <w:sz w:val="24"/>
          <w:szCs w:val="24"/>
          <w:rtl/>
        </w:rPr>
        <w:t xml:space="preserve">, אך </w:t>
      </w:r>
      <w:r>
        <w:rPr>
          <w:rFonts w:ascii="David" w:hAnsi="David" w:cs="David"/>
          <w:spacing w:val="6"/>
          <w:sz w:val="24"/>
          <w:szCs w:val="24"/>
          <w:rtl/>
        </w:rPr>
        <w:t>נדחה עקב משבר הקורונה (נ/ז').</w:t>
      </w:r>
    </w:p>
    <w:p w:rsidR="00A76863" w:rsidRDefault="00A76863" w:rsidP="00A76863">
      <w:pPr>
        <w:pStyle w:val="ad"/>
        <w:spacing w:after="0" w:line="306" w:lineRule="exact"/>
        <w:rPr>
          <w:rFonts w:ascii="David" w:hAnsi="David" w:cs="David"/>
          <w:spacing w:val="6"/>
          <w:sz w:val="24"/>
          <w:szCs w:val="24"/>
        </w:rPr>
      </w:pPr>
    </w:p>
    <w:p w:rsidR="00A76863" w:rsidRDefault="00A76863" w:rsidP="00A86B70">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ביום 23.12.2020 התקיים דיון בבית הדין, במהלכו סירב הנתבע להצעת בית הדין לסדר </w:t>
      </w:r>
      <w:r w:rsidR="00A86B70">
        <w:rPr>
          <w:rFonts w:ascii="David" w:hAnsi="David" w:cs="David" w:hint="cs"/>
          <w:spacing w:val="6"/>
          <w:sz w:val="24"/>
          <w:szCs w:val="24"/>
          <w:rtl/>
        </w:rPr>
        <w:t>את ה</w:t>
      </w:r>
      <w:r>
        <w:rPr>
          <w:rFonts w:ascii="David" w:hAnsi="David" w:cs="David"/>
          <w:spacing w:val="6"/>
          <w:sz w:val="24"/>
          <w:szCs w:val="24"/>
          <w:rtl/>
        </w:rPr>
        <w:t xml:space="preserve">גט ולדון בכתובה לאחר </w:t>
      </w:r>
      <w:r w:rsidR="00A86B70">
        <w:rPr>
          <w:rFonts w:ascii="David" w:hAnsi="David" w:cs="David" w:hint="cs"/>
          <w:spacing w:val="6"/>
          <w:sz w:val="24"/>
          <w:szCs w:val="24"/>
          <w:rtl/>
        </w:rPr>
        <w:t xml:space="preserve">מכן, </w:t>
      </w:r>
      <w:r>
        <w:rPr>
          <w:rFonts w:ascii="David" w:hAnsi="David" w:cs="David"/>
          <w:spacing w:val="6"/>
          <w:sz w:val="24"/>
          <w:szCs w:val="24"/>
          <w:rtl/>
        </w:rPr>
        <w:t>ודרש לקיים דיון הוכחות (ת/ט').</w:t>
      </w:r>
    </w:p>
    <w:p w:rsidR="00A76863" w:rsidRDefault="00A76863" w:rsidP="00A76863">
      <w:pPr>
        <w:pStyle w:val="ad"/>
        <w:spacing w:after="0" w:line="306" w:lineRule="exact"/>
        <w:rPr>
          <w:rFonts w:ascii="David" w:hAnsi="David" w:cs="David"/>
          <w:spacing w:val="6"/>
          <w:sz w:val="24"/>
          <w:szCs w:val="24"/>
        </w:rPr>
      </w:pPr>
    </w:p>
    <w:p w:rsidR="00A76863" w:rsidRDefault="00A76863" w:rsidP="00A86B70">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דיון הוכחות נקבע ליום 12.1.2021 (נ/ח'), אך מסיבות </w:t>
      </w:r>
      <w:r w:rsidR="00A86B70">
        <w:rPr>
          <w:rFonts w:ascii="David" w:hAnsi="David" w:cs="David" w:hint="cs"/>
          <w:spacing w:val="6"/>
          <w:sz w:val="24"/>
          <w:szCs w:val="24"/>
          <w:rtl/>
        </w:rPr>
        <w:t xml:space="preserve">שלא הובררו </w:t>
      </w:r>
      <w:r>
        <w:rPr>
          <w:rFonts w:ascii="David" w:hAnsi="David" w:cs="David"/>
          <w:spacing w:val="6"/>
          <w:sz w:val="24"/>
          <w:szCs w:val="24"/>
          <w:rtl/>
        </w:rPr>
        <w:t>גם הוא נדחה למועד אחר.</w:t>
      </w:r>
    </w:p>
    <w:p w:rsidR="00A76863" w:rsidRDefault="00A76863" w:rsidP="00A76863">
      <w:pPr>
        <w:pStyle w:val="ad"/>
        <w:spacing w:after="0" w:line="306" w:lineRule="exact"/>
        <w:rPr>
          <w:rFonts w:ascii="David" w:hAnsi="David" w:cs="David"/>
          <w:spacing w:val="6"/>
          <w:sz w:val="24"/>
          <w:szCs w:val="24"/>
        </w:rPr>
      </w:pPr>
    </w:p>
    <w:p w:rsidR="00A76863" w:rsidRDefault="00A76863" w:rsidP="00B26E8A">
      <w:pPr>
        <w:pStyle w:val="ad"/>
        <w:numPr>
          <w:ilvl w:val="0"/>
          <w:numId w:val="2"/>
        </w:numPr>
        <w:spacing w:after="0" w:line="306" w:lineRule="exact"/>
        <w:ind w:left="509"/>
        <w:jc w:val="both"/>
        <w:rPr>
          <w:rFonts w:ascii="David" w:hAnsi="David" w:cs="David"/>
          <w:spacing w:val="6"/>
          <w:sz w:val="24"/>
          <w:szCs w:val="24"/>
        </w:rPr>
      </w:pPr>
      <w:r>
        <w:rPr>
          <w:rFonts w:ascii="David" w:hAnsi="David" w:cs="David"/>
          <w:spacing w:val="6"/>
          <w:sz w:val="24"/>
          <w:szCs w:val="24"/>
          <w:rtl/>
        </w:rPr>
        <w:t xml:space="preserve">ביום 20.4.2021 התקיים דיון במהלכו נתן הנתבע הסכמה לגירושין (נ/א'); הגט סודר </w:t>
      </w:r>
      <w:r w:rsidR="00B26E8A">
        <w:rPr>
          <w:rFonts w:ascii="David" w:hAnsi="David" w:cs="David" w:hint="cs"/>
          <w:spacing w:val="6"/>
          <w:sz w:val="24"/>
          <w:szCs w:val="24"/>
          <w:rtl/>
        </w:rPr>
        <w:t xml:space="preserve">                  </w:t>
      </w:r>
      <w:r>
        <w:rPr>
          <w:rFonts w:ascii="David" w:hAnsi="David" w:cs="David"/>
          <w:spacing w:val="6"/>
          <w:sz w:val="24"/>
          <w:szCs w:val="24"/>
          <w:rtl/>
        </w:rPr>
        <w:t>בו ביום (ת/י').</w:t>
      </w:r>
    </w:p>
    <w:p w:rsidR="00B26E8A" w:rsidRDefault="00B26E8A" w:rsidP="00B26E8A">
      <w:pPr>
        <w:spacing w:line="306" w:lineRule="exact"/>
        <w:ind w:left="149"/>
        <w:jc w:val="both"/>
        <w:rPr>
          <w:rFonts w:ascii="David" w:hAnsi="David"/>
          <w:spacing w:val="6"/>
          <w:u w:val="single"/>
          <w:rtl/>
        </w:rPr>
      </w:pPr>
    </w:p>
    <w:p w:rsidR="00B26E8A" w:rsidRDefault="00B26E8A" w:rsidP="00B26E8A">
      <w:pPr>
        <w:spacing w:line="306" w:lineRule="exact"/>
        <w:ind w:left="149"/>
        <w:jc w:val="both"/>
        <w:rPr>
          <w:rFonts w:ascii="David" w:hAnsi="David"/>
          <w:spacing w:val="6"/>
          <w:u w:val="single"/>
          <w:rtl/>
        </w:rPr>
      </w:pPr>
      <w:r w:rsidRPr="00B26E8A">
        <w:rPr>
          <w:rFonts w:ascii="David" w:hAnsi="David" w:hint="cs"/>
          <w:spacing w:val="6"/>
          <w:u w:val="single"/>
          <w:rtl/>
        </w:rPr>
        <w:t xml:space="preserve">השתלשלות ההליכים בבית המשפט </w:t>
      </w:r>
    </w:p>
    <w:p w:rsidR="00B26E8A" w:rsidRPr="00B26E8A" w:rsidRDefault="00B26E8A" w:rsidP="00B26E8A">
      <w:pPr>
        <w:spacing w:line="306" w:lineRule="exact"/>
        <w:ind w:left="149"/>
        <w:jc w:val="both"/>
        <w:rPr>
          <w:rFonts w:ascii="David" w:hAnsi="David"/>
          <w:spacing w:val="6"/>
          <w:u w:val="single"/>
          <w:rtl/>
        </w:rPr>
      </w:pPr>
    </w:p>
    <w:p w:rsidR="00B26E8A" w:rsidRDefault="00B26E8A" w:rsidP="00B26E8A">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ביום 18.2.2021</w:t>
      </w:r>
      <w:r>
        <w:rPr>
          <w:rFonts w:ascii="David" w:hAnsi="David" w:cs="David" w:hint="cs"/>
          <w:spacing w:val="6"/>
          <w:sz w:val="24"/>
          <w:szCs w:val="24"/>
          <w:rtl/>
        </w:rPr>
        <w:t xml:space="preserve">, </w:t>
      </w:r>
      <w:r>
        <w:rPr>
          <w:rFonts w:ascii="David" w:hAnsi="David" w:cs="David"/>
          <w:spacing w:val="6"/>
          <w:sz w:val="24"/>
          <w:szCs w:val="24"/>
          <w:rtl/>
        </w:rPr>
        <w:t>הגיעו הצדדים להסכמות ב</w:t>
      </w:r>
      <w:r>
        <w:rPr>
          <w:rFonts w:ascii="David" w:hAnsi="David" w:cs="David" w:hint="cs"/>
          <w:spacing w:val="6"/>
          <w:sz w:val="24"/>
          <w:szCs w:val="24"/>
          <w:rtl/>
        </w:rPr>
        <w:t>בית משפט זה ב</w:t>
      </w:r>
      <w:r>
        <w:rPr>
          <w:rFonts w:ascii="David" w:hAnsi="David" w:cs="David"/>
          <w:spacing w:val="6"/>
          <w:sz w:val="24"/>
          <w:szCs w:val="24"/>
          <w:rtl/>
        </w:rPr>
        <w:t>נוגע לתביע</w:t>
      </w:r>
      <w:r>
        <w:rPr>
          <w:rFonts w:ascii="David" w:hAnsi="David" w:cs="David" w:hint="cs"/>
          <w:spacing w:val="6"/>
          <w:sz w:val="24"/>
          <w:szCs w:val="24"/>
          <w:rtl/>
        </w:rPr>
        <w:t>ו</w:t>
      </w:r>
      <w:r>
        <w:rPr>
          <w:rFonts w:ascii="David" w:hAnsi="David" w:cs="David"/>
          <w:spacing w:val="6"/>
          <w:sz w:val="24"/>
          <w:szCs w:val="24"/>
          <w:rtl/>
        </w:rPr>
        <w:t>ת מזונות</w:t>
      </w:r>
      <w:r>
        <w:rPr>
          <w:rFonts w:ascii="David" w:hAnsi="David" w:cs="David" w:hint="cs"/>
          <w:spacing w:val="6"/>
          <w:sz w:val="24"/>
          <w:szCs w:val="24"/>
          <w:rtl/>
        </w:rPr>
        <w:t xml:space="preserve"> הדדיות </w:t>
      </w:r>
      <w:r>
        <w:rPr>
          <w:rFonts w:ascii="David" w:hAnsi="David" w:cs="David"/>
          <w:spacing w:val="6"/>
          <w:sz w:val="24"/>
          <w:szCs w:val="24"/>
          <w:rtl/>
        </w:rPr>
        <w:t>(תלה"מ 8945-05-19</w:t>
      </w:r>
      <w:r>
        <w:rPr>
          <w:rFonts w:ascii="David" w:hAnsi="David" w:cs="David" w:hint="cs"/>
          <w:spacing w:val="6"/>
          <w:sz w:val="24"/>
          <w:szCs w:val="24"/>
          <w:rtl/>
        </w:rPr>
        <w:t xml:space="preserve">; </w:t>
      </w:r>
      <w:r>
        <w:rPr>
          <w:rFonts w:ascii="David" w:hAnsi="David" w:cs="David"/>
          <w:spacing w:val="6"/>
          <w:sz w:val="24"/>
          <w:szCs w:val="24"/>
          <w:rtl/>
        </w:rPr>
        <w:t>תלה"מ 10115-09-20) וכן בנוגע למשמורת והסדרי השה</w:t>
      </w:r>
      <w:r>
        <w:rPr>
          <w:rFonts w:ascii="David" w:hAnsi="David" w:cs="David" w:hint="cs"/>
          <w:spacing w:val="6"/>
          <w:sz w:val="24"/>
          <w:szCs w:val="24"/>
          <w:rtl/>
        </w:rPr>
        <w:t xml:space="preserve">ות </w:t>
      </w:r>
      <w:r>
        <w:rPr>
          <w:rFonts w:ascii="David" w:hAnsi="David" w:cs="David"/>
          <w:spacing w:val="6"/>
          <w:sz w:val="24"/>
          <w:szCs w:val="24"/>
          <w:rtl/>
        </w:rPr>
        <w:t>של הקטינים (תלה"מ 40204-06-20)(נ/ב').</w:t>
      </w:r>
    </w:p>
    <w:p w:rsidR="00A76863" w:rsidRDefault="00A76863" w:rsidP="00A76863">
      <w:pPr>
        <w:pStyle w:val="ad"/>
        <w:spacing w:after="0" w:line="306" w:lineRule="exact"/>
        <w:rPr>
          <w:rFonts w:ascii="David" w:hAnsi="David" w:cs="David"/>
          <w:spacing w:val="6"/>
          <w:sz w:val="24"/>
          <w:szCs w:val="24"/>
        </w:rPr>
      </w:pPr>
    </w:p>
    <w:p w:rsidR="00A76863" w:rsidRDefault="00A76863" w:rsidP="00A76863">
      <w:pPr>
        <w:spacing w:line="306" w:lineRule="exact"/>
        <w:jc w:val="both"/>
        <w:rPr>
          <w:rFonts w:ascii="David" w:hAnsi="David"/>
          <w:b/>
          <w:bCs/>
          <w:spacing w:val="6"/>
          <w:u w:val="thick"/>
          <w:rtl/>
        </w:rPr>
      </w:pPr>
      <w:r>
        <w:rPr>
          <w:rFonts w:ascii="David" w:hAnsi="David"/>
          <w:b/>
          <w:bCs/>
          <w:spacing w:val="6"/>
          <w:u w:val="thick"/>
          <w:rtl/>
        </w:rPr>
        <w:lastRenderedPageBreak/>
        <w:t>התובענה דנן</w:t>
      </w:r>
    </w:p>
    <w:p w:rsidR="00A76863" w:rsidRDefault="00A76863" w:rsidP="00A76863">
      <w:pPr>
        <w:spacing w:line="306" w:lineRule="exact"/>
        <w:jc w:val="both"/>
        <w:rPr>
          <w:rFonts w:ascii="David" w:hAnsi="David"/>
          <w:b/>
          <w:bCs/>
          <w:spacing w:val="6"/>
          <w:u w:val="thick"/>
          <w:rtl/>
        </w:rPr>
      </w:pPr>
    </w:p>
    <w:p w:rsidR="00A76863" w:rsidRDefault="00A76863" w:rsidP="00B26E8A">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ביום 2.11.2020 הגישה התובעת ת</w:t>
      </w:r>
      <w:r w:rsidR="00B26E8A">
        <w:rPr>
          <w:rFonts w:ascii="David" w:hAnsi="David" w:cs="David" w:hint="cs"/>
          <w:spacing w:val="6"/>
          <w:sz w:val="24"/>
          <w:szCs w:val="24"/>
          <w:rtl/>
        </w:rPr>
        <w:t xml:space="preserve">ובענה </w:t>
      </w:r>
      <w:r>
        <w:rPr>
          <w:rFonts w:ascii="David" w:hAnsi="David" w:cs="David"/>
          <w:spacing w:val="6"/>
          <w:sz w:val="24"/>
          <w:szCs w:val="24"/>
          <w:rtl/>
        </w:rPr>
        <w:t>"</w:t>
      </w:r>
      <w:r>
        <w:rPr>
          <w:rFonts w:ascii="Miriam" w:hAnsi="Miriam" w:cs="Miriam"/>
          <w:spacing w:val="6"/>
          <w:sz w:val="24"/>
          <w:szCs w:val="24"/>
          <w:rtl/>
        </w:rPr>
        <w:t>כספית – הפרת חוזה/נזיקית</w:t>
      </w:r>
      <w:r>
        <w:rPr>
          <w:rFonts w:ascii="David" w:hAnsi="David" w:cs="David"/>
          <w:spacing w:val="6"/>
          <w:sz w:val="24"/>
          <w:szCs w:val="24"/>
          <w:rtl/>
        </w:rPr>
        <w:t>"</w:t>
      </w:r>
      <w:r w:rsidR="00B26E8A">
        <w:rPr>
          <w:rFonts w:ascii="David" w:hAnsi="David" w:cs="David" w:hint="cs"/>
          <w:spacing w:val="6"/>
          <w:sz w:val="24"/>
          <w:szCs w:val="24"/>
          <w:rtl/>
        </w:rPr>
        <w:t>;</w:t>
      </w:r>
      <w:r>
        <w:rPr>
          <w:rFonts w:ascii="David" w:hAnsi="David" w:cs="David"/>
          <w:spacing w:val="6"/>
          <w:sz w:val="24"/>
          <w:szCs w:val="24"/>
          <w:rtl/>
        </w:rPr>
        <w:t xml:space="preserve"> ב</w:t>
      </w:r>
      <w:r w:rsidR="00B26E8A">
        <w:rPr>
          <w:rFonts w:ascii="David" w:hAnsi="David" w:cs="David" w:hint="cs"/>
          <w:spacing w:val="6"/>
          <w:sz w:val="24"/>
          <w:szCs w:val="24"/>
          <w:rtl/>
        </w:rPr>
        <w:t xml:space="preserve">כתב התביעה </w:t>
      </w:r>
      <w:r>
        <w:rPr>
          <w:rFonts w:ascii="David" w:hAnsi="David" w:cs="David"/>
          <w:spacing w:val="6"/>
          <w:sz w:val="24"/>
          <w:szCs w:val="24"/>
          <w:rtl/>
        </w:rPr>
        <w:t xml:space="preserve">עתרה </w:t>
      </w:r>
      <w:r w:rsidR="00B26E8A">
        <w:rPr>
          <w:rFonts w:ascii="David" w:hAnsi="David" w:cs="David" w:hint="cs"/>
          <w:spacing w:val="6"/>
          <w:sz w:val="24"/>
          <w:szCs w:val="24"/>
          <w:rtl/>
        </w:rPr>
        <w:t xml:space="preserve">התובעת </w:t>
      </w:r>
      <w:r>
        <w:rPr>
          <w:rFonts w:ascii="David" w:hAnsi="David" w:cs="David"/>
          <w:spacing w:val="6"/>
          <w:sz w:val="24"/>
          <w:szCs w:val="24"/>
          <w:rtl/>
        </w:rPr>
        <w:t>ל</w:t>
      </w:r>
      <w:r w:rsidR="00B26E8A">
        <w:rPr>
          <w:rFonts w:ascii="David" w:hAnsi="David" w:cs="David" w:hint="cs"/>
          <w:spacing w:val="6"/>
          <w:sz w:val="24"/>
          <w:szCs w:val="24"/>
          <w:rtl/>
        </w:rPr>
        <w:t>י</w:t>
      </w:r>
      <w:r>
        <w:rPr>
          <w:rFonts w:ascii="David" w:hAnsi="David" w:cs="David"/>
          <w:spacing w:val="6"/>
          <w:sz w:val="24"/>
          <w:szCs w:val="24"/>
          <w:rtl/>
        </w:rPr>
        <w:t xml:space="preserve">תן פסק דין המחייב את הנתבע לשלם לה סך של 500,000 ₪ בגין </w:t>
      </w:r>
      <w:r w:rsidR="00B26E8A">
        <w:rPr>
          <w:rFonts w:ascii="David" w:hAnsi="David" w:cs="David" w:hint="cs"/>
          <w:spacing w:val="6"/>
          <w:sz w:val="24"/>
          <w:szCs w:val="24"/>
          <w:rtl/>
        </w:rPr>
        <w:t>ה</w:t>
      </w:r>
      <w:r>
        <w:rPr>
          <w:rFonts w:ascii="David" w:hAnsi="David" w:cs="David"/>
          <w:spacing w:val="6"/>
          <w:sz w:val="24"/>
          <w:szCs w:val="24"/>
          <w:rtl/>
        </w:rPr>
        <w:t>נזקים שנגרמו לה בשל הפרת התחייבותו ל</w:t>
      </w:r>
      <w:r w:rsidR="00B26E8A">
        <w:rPr>
          <w:rFonts w:ascii="David" w:hAnsi="David" w:cs="David" w:hint="cs"/>
          <w:spacing w:val="6"/>
          <w:sz w:val="24"/>
          <w:szCs w:val="24"/>
          <w:rtl/>
        </w:rPr>
        <w:t xml:space="preserve">יתן </w:t>
      </w:r>
      <w:r>
        <w:rPr>
          <w:rFonts w:ascii="David" w:hAnsi="David" w:cs="David"/>
          <w:spacing w:val="6"/>
          <w:sz w:val="24"/>
          <w:szCs w:val="24"/>
          <w:rtl/>
        </w:rPr>
        <w:t xml:space="preserve">לה גט (להלן – </w:t>
      </w:r>
      <w:r>
        <w:rPr>
          <w:rFonts w:ascii="David" w:hAnsi="David" w:cs="David"/>
          <w:b/>
          <w:bCs/>
          <w:spacing w:val="6"/>
          <w:sz w:val="24"/>
          <w:szCs w:val="24"/>
          <w:rtl/>
        </w:rPr>
        <w:t>כתב התביעה</w:t>
      </w:r>
      <w:r>
        <w:rPr>
          <w:rFonts w:ascii="David" w:hAnsi="David" w:cs="David"/>
          <w:spacing w:val="6"/>
          <w:sz w:val="24"/>
          <w:szCs w:val="24"/>
          <w:rtl/>
        </w:rPr>
        <w:t>).</w:t>
      </w:r>
    </w:p>
    <w:p w:rsidR="00A76863" w:rsidRDefault="00A76863" w:rsidP="00A76863">
      <w:pPr>
        <w:pStyle w:val="ad"/>
        <w:numPr>
          <w:ilvl w:val="0"/>
          <w:numId w:val="2"/>
        </w:numPr>
        <w:spacing w:after="0" w:line="306" w:lineRule="exact"/>
        <w:ind w:left="509"/>
        <w:jc w:val="both"/>
        <w:rPr>
          <w:rFonts w:ascii="David" w:hAnsi="David" w:cs="David"/>
          <w:spacing w:val="6"/>
          <w:sz w:val="24"/>
          <w:szCs w:val="24"/>
        </w:rPr>
      </w:pPr>
      <w:r>
        <w:rPr>
          <w:rFonts w:ascii="David" w:hAnsi="David" w:cs="David"/>
          <w:spacing w:val="6"/>
          <w:sz w:val="24"/>
          <w:szCs w:val="24"/>
          <w:rtl/>
        </w:rPr>
        <w:t>ביום 17.1.2021 הגיש הנתבע כתב הגנה.</w:t>
      </w:r>
    </w:p>
    <w:p w:rsidR="00A76863" w:rsidRPr="00B26E8A" w:rsidRDefault="00A76863" w:rsidP="00A76863">
      <w:pPr>
        <w:pStyle w:val="ad"/>
        <w:spacing w:after="0" w:line="306" w:lineRule="exact"/>
        <w:rPr>
          <w:rFonts w:ascii="David" w:hAnsi="David" w:cs="David"/>
          <w:spacing w:val="6"/>
          <w:sz w:val="24"/>
          <w:szCs w:val="24"/>
        </w:rPr>
      </w:pPr>
    </w:p>
    <w:p w:rsidR="00A76863" w:rsidRDefault="00A76863" w:rsidP="00B26E8A">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ביום 3.1.2022 התקיימה ישיבת קדם משפט בתיק; הצדדים </w:t>
      </w:r>
      <w:r w:rsidR="00B26E8A">
        <w:rPr>
          <w:rFonts w:ascii="David" w:hAnsi="David" w:cs="David" w:hint="cs"/>
          <w:spacing w:val="6"/>
          <w:sz w:val="24"/>
          <w:szCs w:val="24"/>
          <w:rtl/>
        </w:rPr>
        <w:t xml:space="preserve">הודיעו </w:t>
      </w:r>
      <w:r>
        <w:rPr>
          <w:rFonts w:ascii="David" w:hAnsi="David" w:cs="David"/>
          <w:spacing w:val="6"/>
          <w:sz w:val="24"/>
          <w:szCs w:val="24"/>
          <w:rtl/>
        </w:rPr>
        <w:t xml:space="preserve">כי בינתיים הוסדרו הגירושין ביניהם ונותר לדיון בפני בית הדין עניין הכתובה; התובעת הודיעה כי על אף שהתגרשה, היא עומדת על בירור </w:t>
      </w:r>
      <w:r w:rsidR="00B26E8A">
        <w:rPr>
          <w:rFonts w:ascii="David" w:hAnsi="David" w:cs="David" w:hint="cs"/>
          <w:spacing w:val="6"/>
          <w:sz w:val="24"/>
          <w:szCs w:val="24"/>
          <w:rtl/>
        </w:rPr>
        <w:t>ה</w:t>
      </w:r>
      <w:r>
        <w:rPr>
          <w:rFonts w:ascii="David" w:hAnsi="David" w:cs="David"/>
          <w:spacing w:val="6"/>
          <w:sz w:val="24"/>
          <w:szCs w:val="24"/>
          <w:rtl/>
        </w:rPr>
        <w:t xml:space="preserve">תביעה </w:t>
      </w:r>
      <w:r w:rsidR="00B26E8A">
        <w:rPr>
          <w:rFonts w:ascii="David" w:hAnsi="David" w:cs="David" w:hint="cs"/>
          <w:spacing w:val="6"/>
          <w:sz w:val="24"/>
          <w:szCs w:val="24"/>
          <w:rtl/>
        </w:rPr>
        <w:t>דנא</w:t>
      </w:r>
      <w:r>
        <w:rPr>
          <w:rFonts w:ascii="David" w:hAnsi="David" w:cs="David"/>
          <w:spacing w:val="6"/>
          <w:sz w:val="24"/>
          <w:szCs w:val="24"/>
          <w:rtl/>
        </w:rPr>
        <w:t>; והתיק נקבע להוכחות.</w:t>
      </w:r>
    </w:p>
    <w:p w:rsidR="00A76863" w:rsidRDefault="00A76863" w:rsidP="00A76863">
      <w:pPr>
        <w:pStyle w:val="ad"/>
        <w:spacing w:after="0" w:line="306" w:lineRule="exact"/>
        <w:rPr>
          <w:rFonts w:ascii="David" w:hAnsi="David" w:cs="David"/>
          <w:spacing w:val="6"/>
          <w:sz w:val="24"/>
          <w:szCs w:val="24"/>
        </w:rPr>
      </w:pPr>
    </w:p>
    <w:p w:rsidR="00A76863" w:rsidRDefault="00A76863" w:rsidP="007519E6">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ביום 28.7.2022 הגישה התובעת בקשה לצו עיקול זמני על חלקו של הנתבע בכספי מכר דירת המגורים שהוחזקו בידי כונסי הנכסים לצורך הבטחת התובענה (בקשה מס' 10); לאחר </w:t>
      </w:r>
      <w:r w:rsidR="007519E6">
        <w:rPr>
          <w:rFonts w:ascii="David" w:hAnsi="David" w:cs="David" w:hint="cs"/>
          <w:spacing w:val="6"/>
          <w:sz w:val="24"/>
          <w:szCs w:val="24"/>
          <w:rtl/>
        </w:rPr>
        <w:t xml:space="preserve">שהוגשו </w:t>
      </w:r>
      <w:r>
        <w:rPr>
          <w:rFonts w:ascii="David" w:hAnsi="David" w:cs="David"/>
          <w:spacing w:val="6"/>
          <w:sz w:val="24"/>
          <w:szCs w:val="24"/>
          <w:rtl/>
        </w:rPr>
        <w:t xml:space="preserve">תשובה ותגובה ולאחר שהתקיים דיון בפני כב' הרשמת </w:t>
      </w:r>
      <w:r w:rsidR="007519E6">
        <w:rPr>
          <w:rFonts w:ascii="David" w:hAnsi="David" w:cs="David" w:hint="cs"/>
          <w:spacing w:val="6"/>
          <w:sz w:val="24"/>
          <w:szCs w:val="24"/>
          <w:rtl/>
        </w:rPr>
        <w:t xml:space="preserve">ג. רון </w:t>
      </w:r>
      <w:r>
        <w:rPr>
          <w:rFonts w:ascii="David" w:hAnsi="David" w:cs="David"/>
          <w:spacing w:val="6"/>
          <w:sz w:val="24"/>
          <w:szCs w:val="24"/>
          <w:rtl/>
        </w:rPr>
        <w:t xml:space="preserve">בו נחקרו הצדדים </w:t>
      </w:r>
      <w:r w:rsidR="007519E6">
        <w:rPr>
          <w:rFonts w:ascii="David" w:hAnsi="David" w:cs="David" w:hint="cs"/>
          <w:spacing w:val="6"/>
          <w:sz w:val="24"/>
          <w:szCs w:val="24"/>
          <w:rtl/>
        </w:rPr>
        <w:t>ביום 13.9.2022</w:t>
      </w:r>
      <w:r>
        <w:rPr>
          <w:rFonts w:ascii="David" w:hAnsi="David" w:cs="David"/>
          <w:spacing w:val="6"/>
          <w:sz w:val="24"/>
          <w:szCs w:val="24"/>
          <w:rtl/>
        </w:rPr>
        <w:t xml:space="preserve">, נדחתה הבקשה </w:t>
      </w:r>
      <w:r w:rsidR="007519E6">
        <w:rPr>
          <w:rFonts w:ascii="David" w:hAnsi="David" w:cs="David" w:hint="cs"/>
          <w:spacing w:val="6"/>
          <w:sz w:val="24"/>
          <w:szCs w:val="24"/>
          <w:rtl/>
        </w:rPr>
        <w:t xml:space="preserve">ביום </w:t>
      </w:r>
      <w:r>
        <w:rPr>
          <w:rFonts w:ascii="David" w:hAnsi="David" w:cs="David"/>
          <w:spacing w:val="6"/>
          <w:sz w:val="24"/>
          <w:szCs w:val="24"/>
          <w:rtl/>
        </w:rPr>
        <w:t>21.9.2022.</w:t>
      </w:r>
    </w:p>
    <w:p w:rsidR="00A76863" w:rsidRDefault="00A76863" w:rsidP="00A76863">
      <w:pPr>
        <w:pStyle w:val="ad"/>
        <w:spacing w:after="0" w:line="306" w:lineRule="exact"/>
        <w:rPr>
          <w:rFonts w:ascii="David" w:hAnsi="David" w:cs="David"/>
          <w:spacing w:val="6"/>
          <w:sz w:val="24"/>
          <w:szCs w:val="24"/>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הצדדים הגישו תצהירים במקום עדות ראשית והתקיימה ישיבת הוכחות ביום 15.9.2022, במהלכה נשמעו חקירות נגדיות של התובעת (עמ' 27-19 לפרו') והנתבע (עמ' 32-27 לפרו').</w:t>
      </w:r>
    </w:p>
    <w:p w:rsidR="00A76863" w:rsidRDefault="00A76863" w:rsidP="00A76863">
      <w:pPr>
        <w:pStyle w:val="ad"/>
        <w:spacing w:after="0" w:line="306" w:lineRule="exact"/>
        <w:rPr>
          <w:rFonts w:ascii="David" w:hAnsi="David" w:cs="David"/>
          <w:spacing w:val="6"/>
          <w:sz w:val="24"/>
          <w:szCs w:val="24"/>
        </w:rPr>
      </w:pPr>
    </w:p>
    <w:p w:rsidR="00A76863" w:rsidRDefault="00A76863" w:rsidP="007519E6">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בתום שלב ההוכחות, ניתן צו לסיכומים; וכעת ניתן פסק הדין.</w:t>
      </w:r>
    </w:p>
    <w:p w:rsidR="00A76863" w:rsidRDefault="00A76863" w:rsidP="00A76863">
      <w:pPr>
        <w:pStyle w:val="ad"/>
        <w:spacing w:after="0" w:line="306" w:lineRule="exact"/>
        <w:rPr>
          <w:rFonts w:ascii="David" w:hAnsi="David" w:cs="David"/>
          <w:spacing w:val="6"/>
          <w:sz w:val="24"/>
          <w:szCs w:val="24"/>
        </w:rPr>
      </w:pPr>
    </w:p>
    <w:p w:rsidR="00A76863" w:rsidRDefault="00A76863" w:rsidP="00A76863">
      <w:pPr>
        <w:spacing w:line="306" w:lineRule="exact"/>
        <w:jc w:val="both"/>
        <w:rPr>
          <w:rFonts w:ascii="David" w:hAnsi="David"/>
          <w:b/>
          <w:bCs/>
          <w:spacing w:val="6"/>
          <w:u w:val="thick"/>
          <w:rtl/>
        </w:rPr>
      </w:pPr>
      <w:r>
        <w:rPr>
          <w:rFonts w:ascii="David" w:hAnsi="David"/>
          <w:b/>
          <w:bCs/>
          <w:spacing w:val="6"/>
          <w:u w:val="thick"/>
          <w:rtl/>
        </w:rPr>
        <w:t>תמצית טענות הצדדים</w:t>
      </w:r>
    </w:p>
    <w:p w:rsidR="00A76863" w:rsidRDefault="00A76863" w:rsidP="00A76863">
      <w:pPr>
        <w:spacing w:line="306" w:lineRule="exact"/>
        <w:jc w:val="both"/>
        <w:rPr>
          <w:rFonts w:ascii="David" w:hAnsi="David"/>
          <w:b/>
          <w:bCs/>
          <w:spacing w:val="6"/>
          <w:u w:val="thick"/>
          <w:rtl/>
        </w:rPr>
      </w:pPr>
    </w:p>
    <w:p w:rsidR="00A76863" w:rsidRPr="0081753D" w:rsidRDefault="0081753D" w:rsidP="00A76863">
      <w:pPr>
        <w:pStyle w:val="ad"/>
        <w:numPr>
          <w:ilvl w:val="0"/>
          <w:numId w:val="2"/>
        </w:numPr>
        <w:spacing w:after="0" w:line="306" w:lineRule="exact"/>
        <w:ind w:left="509"/>
        <w:jc w:val="both"/>
        <w:rPr>
          <w:rFonts w:ascii="David" w:hAnsi="David" w:cs="David"/>
          <w:spacing w:val="6"/>
          <w:sz w:val="24"/>
          <w:szCs w:val="24"/>
          <w:rtl/>
        </w:rPr>
      </w:pPr>
      <w:r w:rsidRPr="0081753D">
        <w:rPr>
          <w:rFonts w:ascii="David" w:hAnsi="David" w:cs="David" w:hint="cs"/>
          <w:spacing w:val="6"/>
          <w:sz w:val="24"/>
          <w:szCs w:val="24"/>
          <w:rtl/>
        </w:rPr>
        <w:t xml:space="preserve">אלה </w:t>
      </w:r>
      <w:r w:rsidR="00A76863" w:rsidRPr="0081753D">
        <w:rPr>
          <w:rFonts w:ascii="David" w:hAnsi="David" w:cs="David"/>
          <w:spacing w:val="6"/>
          <w:sz w:val="24"/>
          <w:szCs w:val="24"/>
          <w:rtl/>
        </w:rPr>
        <w:t>טענות התובעת-</w:t>
      </w:r>
    </w:p>
    <w:p w:rsidR="00A76863" w:rsidRDefault="00A76863" w:rsidP="00A76863">
      <w:pPr>
        <w:pStyle w:val="ad"/>
        <w:spacing w:after="0" w:line="306" w:lineRule="exact"/>
        <w:ind w:left="509"/>
        <w:jc w:val="both"/>
        <w:rPr>
          <w:rFonts w:ascii="David" w:hAnsi="David" w:cs="David"/>
          <w:spacing w:val="6"/>
          <w:sz w:val="24"/>
          <w:szCs w:val="24"/>
        </w:rPr>
      </w:pPr>
    </w:p>
    <w:p w:rsidR="00A76863" w:rsidRDefault="00A76863" w:rsidP="007519E6">
      <w:pPr>
        <w:pStyle w:val="ad"/>
        <w:numPr>
          <w:ilvl w:val="0"/>
          <w:numId w:val="3"/>
        </w:numPr>
        <w:spacing w:after="0" w:line="306" w:lineRule="exact"/>
        <w:jc w:val="both"/>
        <w:rPr>
          <w:rFonts w:ascii="David" w:hAnsi="David" w:cs="David"/>
          <w:spacing w:val="6"/>
          <w:sz w:val="24"/>
          <w:szCs w:val="24"/>
        </w:rPr>
      </w:pPr>
      <w:r>
        <w:rPr>
          <w:rFonts w:ascii="David" w:hAnsi="David" w:cs="David"/>
          <w:spacing w:val="6"/>
          <w:sz w:val="24"/>
          <w:szCs w:val="24"/>
          <w:rtl/>
        </w:rPr>
        <w:t>סעיף 1 להסכם</w:t>
      </w:r>
      <w:r w:rsidR="007519E6">
        <w:rPr>
          <w:rFonts w:ascii="David" w:hAnsi="David" w:cs="David" w:hint="cs"/>
          <w:spacing w:val="6"/>
          <w:sz w:val="24"/>
          <w:szCs w:val="24"/>
          <w:rtl/>
        </w:rPr>
        <w:t>,</w:t>
      </w:r>
      <w:r>
        <w:rPr>
          <w:rFonts w:ascii="David" w:hAnsi="David" w:cs="David"/>
          <w:spacing w:val="6"/>
          <w:sz w:val="24"/>
          <w:szCs w:val="24"/>
          <w:rtl/>
        </w:rPr>
        <w:t xml:space="preserve"> אשר מסדיר את התחייבות הצדדים להגיש בקשה משותפת לבית הדין לקבלת פסק דין לגירושין וסידור הגט, אמנם לא אושר על ידי בית המשפט, אך הינו התחייבות חוזית תקפה ומחייבת.</w:t>
      </w:r>
    </w:p>
    <w:p w:rsidR="00A76863" w:rsidRDefault="00A76863" w:rsidP="00A76863">
      <w:pPr>
        <w:pStyle w:val="ad"/>
        <w:spacing w:after="0" w:line="306" w:lineRule="exact"/>
        <w:ind w:left="869"/>
        <w:jc w:val="both"/>
        <w:rPr>
          <w:rFonts w:ascii="David" w:hAnsi="David" w:cs="David"/>
          <w:spacing w:val="6"/>
          <w:sz w:val="24"/>
          <w:szCs w:val="24"/>
        </w:rPr>
      </w:pPr>
    </w:p>
    <w:p w:rsidR="0081753D" w:rsidRDefault="00A76863" w:rsidP="0081753D">
      <w:pPr>
        <w:pStyle w:val="ad"/>
        <w:numPr>
          <w:ilvl w:val="0"/>
          <w:numId w:val="3"/>
        </w:numPr>
        <w:spacing w:after="0" w:line="306" w:lineRule="exact"/>
        <w:jc w:val="both"/>
        <w:rPr>
          <w:rFonts w:ascii="David" w:hAnsi="David" w:cs="David"/>
          <w:spacing w:val="6"/>
          <w:sz w:val="24"/>
          <w:szCs w:val="24"/>
        </w:rPr>
      </w:pPr>
      <w:r>
        <w:rPr>
          <w:rFonts w:ascii="David" w:hAnsi="David" w:cs="David"/>
          <w:spacing w:val="6"/>
          <w:sz w:val="24"/>
          <w:szCs w:val="24"/>
          <w:rtl/>
        </w:rPr>
        <w:t>הנתבע הותיר את</w:t>
      </w:r>
      <w:r w:rsidR="007519E6">
        <w:rPr>
          <w:rFonts w:ascii="David" w:hAnsi="David" w:cs="David" w:hint="cs"/>
          <w:spacing w:val="6"/>
          <w:sz w:val="24"/>
          <w:szCs w:val="24"/>
          <w:rtl/>
        </w:rPr>
        <w:t xml:space="preserve"> התובעת </w:t>
      </w:r>
      <w:r>
        <w:rPr>
          <w:rFonts w:ascii="David" w:hAnsi="David" w:cs="David"/>
          <w:spacing w:val="6"/>
          <w:sz w:val="24"/>
          <w:szCs w:val="24"/>
          <w:rtl/>
        </w:rPr>
        <w:t xml:space="preserve">עגונה באופן מתמשך, תוך שמנע ממנה את האפשרות להמשיך את </w:t>
      </w:r>
      <w:r w:rsidR="007519E6">
        <w:rPr>
          <w:rFonts w:ascii="David" w:hAnsi="David" w:cs="David" w:hint="cs"/>
          <w:spacing w:val="6"/>
          <w:sz w:val="24"/>
          <w:szCs w:val="24"/>
          <w:rtl/>
        </w:rPr>
        <w:t xml:space="preserve">מסלול </w:t>
      </w:r>
      <w:r>
        <w:rPr>
          <w:rFonts w:ascii="David" w:hAnsi="David" w:cs="David"/>
          <w:spacing w:val="6"/>
          <w:sz w:val="24"/>
          <w:szCs w:val="24"/>
          <w:rtl/>
        </w:rPr>
        <w:t>חייה</w:t>
      </w:r>
      <w:r w:rsidR="0081753D">
        <w:rPr>
          <w:rFonts w:ascii="David" w:hAnsi="David" w:cs="David" w:hint="cs"/>
          <w:spacing w:val="6"/>
          <w:sz w:val="24"/>
          <w:szCs w:val="24"/>
          <w:rtl/>
        </w:rPr>
        <w:t xml:space="preserve">; </w:t>
      </w:r>
    </w:p>
    <w:p w:rsidR="0081753D" w:rsidRPr="0081753D" w:rsidRDefault="0081753D" w:rsidP="0081753D">
      <w:pPr>
        <w:pStyle w:val="ad"/>
        <w:rPr>
          <w:rFonts w:ascii="David" w:hAnsi="David" w:cs="David"/>
          <w:spacing w:val="6"/>
          <w:sz w:val="24"/>
          <w:szCs w:val="24"/>
          <w:rtl/>
        </w:rPr>
      </w:pPr>
    </w:p>
    <w:p w:rsidR="0081753D" w:rsidRDefault="0081753D" w:rsidP="0081753D">
      <w:pPr>
        <w:pStyle w:val="ad"/>
        <w:numPr>
          <w:ilvl w:val="0"/>
          <w:numId w:val="3"/>
        </w:numPr>
        <w:spacing w:after="0" w:line="306" w:lineRule="exact"/>
        <w:jc w:val="both"/>
        <w:rPr>
          <w:rFonts w:ascii="David" w:hAnsi="David" w:cs="David"/>
          <w:spacing w:val="6"/>
          <w:sz w:val="24"/>
          <w:szCs w:val="24"/>
        </w:rPr>
      </w:pPr>
      <w:r w:rsidRPr="0081753D">
        <w:rPr>
          <w:rFonts w:ascii="David" w:hAnsi="David" w:cs="David"/>
          <w:spacing w:val="6"/>
          <w:sz w:val="24"/>
          <w:szCs w:val="24"/>
          <w:rtl/>
        </w:rPr>
        <w:t>חובתו של הנתבע למלא בתום לב את חיוביו החוזיים</w:t>
      </w:r>
      <w:r w:rsidRPr="0081753D">
        <w:rPr>
          <w:rFonts w:ascii="David" w:hAnsi="David" w:cs="David" w:hint="cs"/>
          <w:spacing w:val="6"/>
          <w:sz w:val="24"/>
          <w:szCs w:val="24"/>
          <w:rtl/>
        </w:rPr>
        <w:t xml:space="preserve">; </w:t>
      </w:r>
      <w:r w:rsidRPr="0081753D">
        <w:rPr>
          <w:rFonts w:ascii="David" w:hAnsi="David" w:cs="David"/>
          <w:spacing w:val="6"/>
          <w:sz w:val="24"/>
          <w:szCs w:val="24"/>
          <w:rtl/>
        </w:rPr>
        <w:t>סירובו של הנתבע להתגרש מהווה הפרה יסודית של התחייבותו להתגרש מהתובעת</w:t>
      </w:r>
      <w:r>
        <w:rPr>
          <w:rFonts w:ascii="David" w:hAnsi="David" w:cs="David" w:hint="cs"/>
          <w:spacing w:val="6"/>
          <w:sz w:val="24"/>
          <w:szCs w:val="24"/>
          <w:rtl/>
        </w:rPr>
        <w:t>,</w:t>
      </w:r>
      <w:r>
        <w:rPr>
          <w:rFonts w:ascii="David" w:hAnsi="David" w:cs="David"/>
          <w:spacing w:val="6"/>
          <w:sz w:val="24"/>
          <w:szCs w:val="24"/>
          <w:rtl/>
        </w:rPr>
        <w:t xml:space="preserve"> ומשלא עשה כן עליו לשפות את התובעת על מלוא נזקיה.</w:t>
      </w:r>
    </w:p>
    <w:p w:rsidR="00A76863" w:rsidRDefault="00A76863" w:rsidP="00A76863">
      <w:pPr>
        <w:pStyle w:val="ad"/>
        <w:spacing w:after="0" w:line="306" w:lineRule="exact"/>
        <w:rPr>
          <w:rFonts w:ascii="David" w:hAnsi="David" w:cs="David"/>
          <w:spacing w:val="6"/>
          <w:sz w:val="24"/>
          <w:szCs w:val="24"/>
        </w:rPr>
      </w:pPr>
    </w:p>
    <w:p w:rsidR="00A76863" w:rsidRDefault="00A76863" w:rsidP="0081753D">
      <w:pPr>
        <w:pStyle w:val="ad"/>
        <w:numPr>
          <w:ilvl w:val="0"/>
          <w:numId w:val="3"/>
        </w:numPr>
        <w:spacing w:after="0" w:line="306" w:lineRule="exact"/>
        <w:jc w:val="both"/>
        <w:rPr>
          <w:rFonts w:ascii="David" w:hAnsi="David" w:cs="David"/>
          <w:spacing w:val="6"/>
          <w:sz w:val="24"/>
          <w:szCs w:val="24"/>
          <w:rtl/>
        </w:rPr>
      </w:pPr>
      <w:r>
        <w:rPr>
          <w:rFonts w:ascii="David" w:hAnsi="David" w:cs="David"/>
          <w:spacing w:val="6"/>
          <w:sz w:val="24"/>
          <w:szCs w:val="24"/>
          <w:rtl/>
        </w:rPr>
        <w:t>מעשי הנתבע מהווים עוולת רשלנות ומזכים את התובעת ב</w:t>
      </w:r>
      <w:r w:rsidR="007519E6">
        <w:rPr>
          <w:rFonts w:ascii="David" w:hAnsi="David" w:cs="David" w:hint="cs"/>
          <w:spacing w:val="6"/>
          <w:sz w:val="24"/>
          <w:szCs w:val="24"/>
          <w:rtl/>
        </w:rPr>
        <w:t xml:space="preserve">תשלום </w:t>
      </w:r>
      <w:r>
        <w:rPr>
          <w:rFonts w:ascii="David" w:hAnsi="David" w:cs="David"/>
          <w:spacing w:val="6"/>
          <w:sz w:val="24"/>
          <w:szCs w:val="24"/>
          <w:rtl/>
        </w:rPr>
        <w:t xml:space="preserve">פיצויים </w:t>
      </w:r>
      <w:r w:rsidR="007519E6">
        <w:rPr>
          <w:rFonts w:ascii="David" w:hAnsi="David" w:cs="David" w:hint="cs"/>
          <w:spacing w:val="6"/>
          <w:sz w:val="24"/>
          <w:szCs w:val="24"/>
          <w:rtl/>
        </w:rPr>
        <w:t xml:space="preserve">עבור </w:t>
      </w:r>
      <w:r>
        <w:rPr>
          <w:rFonts w:ascii="David" w:hAnsi="David" w:cs="David"/>
          <w:spacing w:val="6"/>
          <w:sz w:val="24"/>
          <w:szCs w:val="24"/>
          <w:rtl/>
        </w:rPr>
        <w:t xml:space="preserve"> </w:t>
      </w:r>
      <w:r w:rsidR="0081753D">
        <w:rPr>
          <w:rFonts w:ascii="David" w:hAnsi="David" w:cs="David" w:hint="cs"/>
          <w:spacing w:val="6"/>
          <w:sz w:val="24"/>
          <w:szCs w:val="24"/>
          <w:rtl/>
        </w:rPr>
        <w:t>ה</w:t>
      </w:r>
      <w:r>
        <w:rPr>
          <w:rFonts w:ascii="David" w:hAnsi="David" w:cs="David"/>
          <w:spacing w:val="6"/>
          <w:sz w:val="24"/>
          <w:szCs w:val="24"/>
          <w:rtl/>
        </w:rPr>
        <w:t>נזקי</w:t>
      </w:r>
      <w:r w:rsidR="0081753D">
        <w:rPr>
          <w:rFonts w:ascii="David" w:hAnsi="David" w:cs="David" w:hint="cs"/>
          <w:spacing w:val="6"/>
          <w:sz w:val="24"/>
          <w:szCs w:val="24"/>
          <w:rtl/>
        </w:rPr>
        <w:t>ם</w:t>
      </w:r>
      <w:r>
        <w:rPr>
          <w:rFonts w:ascii="David" w:hAnsi="David" w:cs="David"/>
          <w:spacing w:val="6"/>
          <w:sz w:val="24"/>
          <w:szCs w:val="24"/>
          <w:rtl/>
        </w:rPr>
        <w:t xml:space="preserve"> הכספיים </w:t>
      </w:r>
      <w:r w:rsidR="0081753D">
        <w:rPr>
          <w:rFonts w:ascii="David" w:hAnsi="David" w:cs="David" w:hint="cs"/>
          <w:spacing w:val="6"/>
          <w:sz w:val="24"/>
          <w:szCs w:val="24"/>
          <w:rtl/>
        </w:rPr>
        <w:t xml:space="preserve">כמו גם </w:t>
      </w:r>
      <w:r>
        <w:rPr>
          <w:rFonts w:ascii="David" w:hAnsi="David" w:cs="David"/>
          <w:spacing w:val="6"/>
          <w:sz w:val="24"/>
          <w:szCs w:val="24"/>
          <w:rtl/>
        </w:rPr>
        <w:t xml:space="preserve">עוגמת נפש, טרדה, ואובדן ימי עבודה </w:t>
      </w:r>
      <w:r w:rsidR="0081753D">
        <w:rPr>
          <w:rFonts w:ascii="David" w:hAnsi="David" w:cs="David" w:hint="cs"/>
          <w:spacing w:val="6"/>
          <w:sz w:val="24"/>
          <w:szCs w:val="24"/>
          <w:rtl/>
        </w:rPr>
        <w:t>שנגרמו לה</w:t>
      </w:r>
      <w:r>
        <w:rPr>
          <w:rFonts w:ascii="David" w:hAnsi="David" w:cs="David"/>
          <w:spacing w:val="6"/>
          <w:sz w:val="24"/>
          <w:szCs w:val="24"/>
          <w:rtl/>
        </w:rPr>
        <w:t>.</w:t>
      </w:r>
    </w:p>
    <w:p w:rsidR="00A76863" w:rsidRDefault="00A76863" w:rsidP="00A76863">
      <w:pPr>
        <w:pStyle w:val="ad"/>
        <w:spacing w:after="0" w:line="306" w:lineRule="exact"/>
        <w:ind w:left="509"/>
        <w:jc w:val="both"/>
        <w:rPr>
          <w:rFonts w:ascii="David" w:hAnsi="David" w:cs="David"/>
          <w:spacing w:val="6"/>
          <w:sz w:val="24"/>
          <w:szCs w:val="24"/>
          <w:rtl/>
        </w:rPr>
      </w:pPr>
    </w:p>
    <w:p w:rsidR="008B0E6A" w:rsidRDefault="008B0E6A" w:rsidP="00A76863">
      <w:pPr>
        <w:pStyle w:val="ad"/>
        <w:spacing w:after="0" w:line="306" w:lineRule="exact"/>
        <w:ind w:left="509"/>
        <w:jc w:val="both"/>
        <w:rPr>
          <w:rFonts w:ascii="David" w:hAnsi="David" w:cs="David"/>
          <w:spacing w:val="6"/>
          <w:sz w:val="24"/>
          <w:szCs w:val="24"/>
          <w:rtl/>
        </w:rPr>
      </w:pPr>
    </w:p>
    <w:p w:rsidR="008B0E6A" w:rsidRDefault="008B0E6A" w:rsidP="00A76863">
      <w:pPr>
        <w:pStyle w:val="ad"/>
        <w:spacing w:after="0" w:line="306" w:lineRule="exact"/>
        <w:ind w:left="509"/>
        <w:jc w:val="both"/>
        <w:rPr>
          <w:rFonts w:ascii="David" w:hAnsi="David" w:cs="David"/>
          <w:spacing w:val="6"/>
          <w:sz w:val="24"/>
          <w:szCs w:val="24"/>
        </w:rPr>
      </w:pPr>
    </w:p>
    <w:p w:rsidR="00A76863" w:rsidRPr="0081753D" w:rsidRDefault="0081753D" w:rsidP="00A76863">
      <w:pPr>
        <w:pStyle w:val="ad"/>
        <w:numPr>
          <w:ilvl w:val="0"/>
          <w:numId w:val="2"/>
        </w:numPr>
        <w:spacing w:after="0" w:line="306" w:lineRule="exact"/>
        <w:ind w:left="509"/>
        <w:jc w:val="both"/>
        <w:rPr>
          <w:rFonts w:ascii="David" w:hAnsi="David" w:cs="David"/>
          <w:spacing w:val="6"/>
          <w:sz w:val="24"/>
          <w:szCs w:val="24"/>
        </w:rPr>
      </w:pPr>
      <w:r w:rsidRPr="0081753D">
        <w:rPr>
          <w:rFonts w:ascii="David" w:hAnsi="David" w:cs="David" w:hint="cs"/>
          <w:spacing w:val="6"/>
          <w:sz w:val="24"/>
          <w:szCs w:val="24"/>
          <w:rtl/>
        </w:rPr>
        <w:lastRenderedPageBreak/>
        <w:t xml:space="preserve">אלה </w:t>
      </w:r>
      <w:r w:rsidR="00A76863" w:rsidRPr="0081753D">
        <w:rPr>
          <w:rFonts w:ascii="David" w:hAnsi="David" w:cs="David"/>
          <w:spacing w:val="6"/>
          <w:sz w:val="24"/>
          <w:szCs w:val="24"/>
          <w:rtl/>
        </w:rPr>
        <w:t>טענות הנתבע-</w:t>
      </w:r>
    </w:p>
    <w:p w:rsidR="00A76863" w:rsidRDefault="00A76863" w:rsidP="00A76863">
      <w:pPr>
        <w:pStyle w:val="ad"/>
        <w:spacing w:after="0" w:line="306" w:lineRule="exact"/>
        <w:ind w:left="509"/>
        <w:jc w:val="both"/>
        <w:rPr>
          <w:rFonts w:ascii="David" w:hAnsi="David" w:cs="David"/>
          <w:spacing w:val="6"/>
          <w:sz w:val="24"/>
          <w:szCs w:val="24"/>
        </w:rPr>
      </w:pPr>
    </w:p>
    <w:p w:rsidR="00A76863" w:rsidRDefault="00A76863" w:rsidP="00146D47">
      <w:pPr>
        <w:pStyle w:val="ad"/>
        <w:numPr>
          <w:ilvl w:val="0"/>
          <w:numId w:val="4"/>
        </w:numPr>
        <w:spacing w:after="0" w:line="306" w:lineRule="exact"/>
        <w:jc w:val="both"/>
        <w:rPr>
          <w:rFonts w:ascii="David" w:hAnsi="David" w:cs="David"/>
          <w:spacing w:val="6"/>
          <w:sz w:val="24"/>
          <w:szCs w:val="24"/>
        </w:rPr>
      </w:pPr>
      <w:r>
        <w:rPr>
          <w:rFonts w:ascii="David" w:hAnsi="David" w:cs="David"/>
          <w:spacing w:val="6"/>
          <w:sz w:val="24"/>
          <w:szCs w:val="24"/>
          <w:rtl/>
        </w:rPr>
        <w:t xml:space="preserve">התובעת </w:t>
      </w:r>
      <w:r w:rsidR="0081753D">
        <w:rPr>
          <w:rFonts w:ascii="David" w:hAnsi="David" w:cs="David" w:hint="cs"/>
          <w:spacing w:val="6"/>
          <w:sz w:val="24"/>
          <w:szCs w:val="24"/>
          <w:rtl/>
        </w:rPr>
        <w:t xml:space="preserve">נקטה </w:t>
      </w:r>
      <w:r w:rsidR="00146D47">
        <w:rPr>
          <w:rFonts w:ascii="David" w:hAnsi="David" w:cs="David" w:hint="cs"/>
          <w:spacing w:val="6"/>
          <w:sz w:val="24"/>
          <w:szCs w:val="24"/>
          <w:rtl/>
        </w:rPr>
        <w:t xml:space="preserve">כנגד הנתבע </w:t>
      </w:r>
      <w:r>
        <w:rPr>
          <w:rFonts w:ascii="David" w:hAnsi="David" w:cs="David"/>
          <w:spacing w:val="6"/>
          <w:sz w:val="24"/>
          <w:szCs w:val="24"/>
          <w:rtl/>
        </w:rPr>
        <w:t xml:space="preserve">בהליך </w:t>
      </w:r>
      <w:r w:rsidR="00146D47">
        <w:rPr>
          <w:rFonts w:ascii="David" w:hAnsi="David" w:cs="David" w:hint="cs"/>
          <w:spacing w:val="6"/>
          <w:sz w:val="24"/>
          <w:szCs w:val="24"/>
          <w:rtl/>
        </w:rPr>
        <w:t>ב</w:t>
      </w:r>
      <w:r>
        <w:rPr>
          <w:rFonts w:ascii="David" w:hAnsi="David" w:cs="David"/>
          <w:spacing w:val="6"/>
          <w:sz w:val="24"/>
          <w:szCs w:val="24"/>
          <w:rtl/>
        </w:rPr>
        <w:t xml:space="preserve">בית הדין </w:t>
      </w:r>
      <w:r w:rsidR="0081753D">
        <w:rPr>
          <w:rFonts w:ascii="David" w:hAnsi="David" w:cs="David" w:hint="cs"/>
          <w:spacing w:val="6"/>
          <w:sz w:val="24"/>
          <w:szCs w:val="24"/>
          <w:rtl/>
        </w:rPr>
        <w:t>ב</w:t>
      </w:r>
      <w:r w:rsidR="00146D47">
        <w:rPr>
          <w:rFonts w:ascii="David" w:hAnsi="David" w:cs="David" w:hint="cs"/>
          <w:spacing w:val="6"/>
          <w:sz w:val="24"/>
          <w:szCs w:val="24"/>
          <w:rtl/>
        </w:rPr>
        <w:t xml:space="preserve">מסגרתו </w:t>
      </w:r>
      <w:r w:rsidR="0081753D">
        <w:rPr>
          <w:rFonts w:ascii="David" w:hAnsi="David" w:cs="David" w:hint="cs"/>
          <w:spacing w:val="6"/>
          <w:sz w:val="24"/>
          <w:szCs w:val="24"/>
          <w:rtl/>
        </w:rPr>
        <w:t xml:space="preserve">עתרה </w:t>
      </w:r>
      <w:r>
        <w:rPr>
          <w:rFonts w:ascii="David" w:hAnsi="David" w:cs="David"/>
          <w:spacing w:val="6"/>
          <w:sz w:val="24"/>
          <w:szCs w:val="24"/>
          <w:rtl/>
        </w:rPr>
        <w:t>ל</w:t>
      </w:r>
      <w:r w:rsidR="00146D47">
        <w:rPr>
          <w:rFonts w:ascii="David" w:hAnsi="David" w:cs="David" w:hint="cs"/>
          <w:spacing w:val="6"/>
          <w:sz w:val="24"/>
          <w:szCs w:val="24"/>
          <w:rtl/>
        </w:rPr>
        <w:t xml:space="preserve">יתן </w:t>
      </w:r>
      <w:r>
        <w:rPr>
          <w:rFonts w:ascii="David" w:hAnsi="David" w:cs="David"/>
          <w:spacing w:val="6"/>
          <w:sz w:val="24"/>
          <w:szCs w:val="24"/>
          <w:rtl/>
        </w:rPr>
        <w:t>סעד זהה של "פיצוי" כ</w:t>
      </w:r>
      <w:r w:rsidR="00146D47">
        <w:rPr>
          <w:rFonts w:ascii="David" w:hAnsi="David" w:cs="David" w:hint="cs"/>
          <w:spacing w:val="6"/>
          <w:sz w:val="24"/>
          <w:szCs w:val="24"/>
          <w:rtl/>
        </w:rPr>
        <w:t xml:space="preserve">פי שהתבקש גם </w:t>
      </w:r>
      <w:r>
        <w:rPr>
          <w:rFonts w:ascii="David" w:hAnsi="David" w:cs="David"/>
          <w:spacing w:val="6"/>
          <w:sz w:val="24"/>
          <w:szCs w:val="24"/>
          <w:rtl/>
        </w:rPr>
        <w:t xml:space="preserve">במסגרת </w:t>
      </w:r>
      <w:r w:rsidR="00146D47">
        <w:rPr>
          <w:rFonts w:ascii="David" w:hAnsi="David" w:cs="David" w:hint="cs"/>
          <w:spacing w:val="6"/>
          <w:sz w:val="24"/>
          <w:szCs w:val="24"/>
          <w:rtl/>
        </w:rPr>
        <w:t xml:space="preserve">התובענה דנא, </w:t>
      </w:r>
      <w:r>
        <w:rPr>
          <w:rFonts w:ascii="David" w:hAnsi="David" w:cs="David"/>
          <w:spacing w:val="6"/>
          <w:sz w:val="24"/>
          <w:szCs w:val="24"/>
          <w:rtl/>
        </w:rPr>
        <w:t xml:space="preserve">ועל כן יש </w:t>
      </w:r>
      <w:r w:rsidR="00146D47">
        <w:rPr>
          <w:rFonts w:ascii="David" w:hAnsi="David" w:cs="David" w:hint="cs"/>
          <w:spacing w:val="6"/>
          <w:sz w:val="24"/>
          <w:szCs w:val="24"/>
          <w:rtl/>
        </w:rPr>
        <w:t>לסלק על הסף תביעה זו.</w:t>
      </w:r>
    </w:p>
    <w:p w:rsidR="00A76863" w:rsidRPr="00146D47" w:rsidRDefault="00A76863" w:rsidP="00A76863">
      <w:pPr>
        <w:pStyle w:val="ad"/>
        <w:spacing w:after="0" w:line="306" w:lineRule="exact"/>
        <w:ind w:left="869"/>
        <w:jc w:val="both"/>
        <w:rPr>
          <w:rFonts w:ascii="David" w:hAnsi="David" w:cs="David"/>
          <w:spacing w:val="6"/>
          <w:sz w:val="24"/>
          <w:szCs w:val="24"/>
        </w:rPr>
      </w:pPr>
    </w:p>
    <w:p w:rsidR="00A76863" w:rsidRDefault="00A76863" w:rsidP="00146D47">
      <w:pPr>
        <w:pStyle w:val="ad"/>
        <w:numPr>
          <w:ilvl w:val="0"/>
          <w:numId w:val="4"/>
        </w:numPr>
        <w:spacing w:after="0" w:line="306" w:lineRule="exact"/>
        <w:jc w:val="both"/>
        <w:rPr>
          <w:rFonts w:ascii="David" w:hAnsi="David" w:cs="David"/>
          <w:spacing w:val="6"/>
          <w:sz w:val="24"/>
          <w:szCs w:val="24"/>
        </w:rPr>
      </w:pPr>
      <w:r w:rsidRPr="003B5ABD">
        <w:rPr>
          <w:rFonts w:ascii="David" w:hAnsi="David" w:cs="David"/>
          <w:spacing w:val="6"/>
          <w:sz w:val="24"/>
          <w:szCs w:val="24"/>
          <w:rtl/>
        </w:rPr>
        <w:t>הנתבע מעולם לא סירב לתת גט וכל העיכוב שחל בגירושי</w:t>
      </w:r>
      <w:r w:rsidR="00146D47" w:rsidRPr="003B5ABD">
        <w:rPr>
          <w:rFonts w:ascii="David" w:hAnsi="David" w:cs="David" w:hint="cs"/>
          <w:spacing w:val="6"/>
          <w:sz w:val="24"/>
          <w:szCs w:val="24"/>
          <w:rtl/>
        </w:rPr>
        <w:t xml:space="preserve">ן </w:t>
      </w:r>
      <w:r w:rsidRPr="003B5ABD">
        <w:rPr>
          <w:rFonts w:ascii="David" w:hAnsi="David" w:cs="David"/>
          <w:spacing w:val="6"/>
          <w:sz w:val="24"/>
          <w:szCs w:val="24"/>
          <w:rtl/>
        </w:rPr>
        <w:t>נבע מכך שלא ניתן היה לערוך את סידור הגט כל עוד התגוררו הצדדים יחדיו תחת קורת גג אחת.</w:t>
      </w:r>
    </w:p>
    <w:p w:rsidR="00580552" w:rsidRPr="00580552" w:rsidRDefault="00580552" w:rsidP="00580552">
      <w:pPr>
        <w:pStyle w:val="ad"/>
        <w:rPr>
          <w:rFonts w:ascii="David" w:hAnsi="David" w:cs="David"/>
          <w:spacing w:val="6"/>
          <w:sz w:val="24"/>
          <w:szCs w:val="24"/>
          <w:rtl/>
        </w:rPr>
      </w:pPr>
    </w:p>
    <w:p w:rsidR="00A76863" w:rsidRDefault="00A76863" w:rsidP="008A4988">
      <w:pPr>
        <w:pStyle w:val="ad"/>
        <w:numPr>
          <w:ilvl w:val="0"/>
          <w:numId w:val="4"/>
        </w:numPr>
        <w:spacing w:after="0" w:line="306" w:lineRule="exact"/>
        <w:jc w:val="both"/>
        <w:rPr>
          <w:rFonts w:ascii="David" w:hAnsi="David" w:cs="David"/>
          <w:spacing w:val="6"/>
          <w:sz w:val="24"/>
          <w:szCs w:val="24"/>
        </w:rPr>
      </w:pPr>
      <w:r>
        <w:rPr>
          <w:rFonts w:ascii="David" w:hAnsi="David" w:cs="David"/>
          <w:spacing w:val="6"/>
          <w:sz w:val="24"/>
          <w:szCs w:val="24"/>
          <w:rtl/>
        </w:rPr>
        <w:t>לאחר הפרדת המגורים המשותפים, התובעת בחרה משך למעלה משנה שלא לפעול בעניין הגירושין ואין לה אלא להלין על עצמה; ומאז חודש יוני 2020 היא חיה כרווקה ובנפרד מהנתבע, בלי שהוא מטיל עליה הגבלה כלשהי.</w:t>
      </w:r>
    </w:p>
    <w:p w:rsidR="00A76863" w:rsidRPr="008A4988" w:rsidRDefault="00A76863" w:rsidP="00A76863">
      <w:pPr>
        <w:pStyle w:val="ad"/>
        <w:spacing w:after="0" w:line="306" w:lineRule="exact"/>
        <w:ind w:left="869"/>
        <w:jc w:val="both"/>
        <w:rPr>
          <w:rFonts w:ascii="David" w:hAnsi="David" w:cs="David"/>
          <w:spacing w:val="6"/>
          <w:sz w:val="24"/>
          <w:szCs w:val="24"/>
        </w:rPr>
      </w:pPr>
    </w:p>
    <w:p w:rsidR="00A76863" w:rsidRDefault="00A76863" w:rsidP="00163949">
      <w:pPr>
        <w:pStyle w:val="ad"/>
        <w:numPr>
          <w:ilvl w:val="0"/>
          <w:numId w:val="4"/>
        </w:numPr>
        <w:spacing w:after="0" w:line="306" w:lineRule="exact"/>
        <w:jc w:val="both"/>
        <w:rPr>
          <w:rFonts w:ascii="David" w:hAnsi="David" w:cs="David"/>
          <w:spacing w:val="6"/>
          <w:sz w:val="24"/>
          <w:szCs w:val="24"/>
        </w:rPr>
      </w:pPr>
      <w:r>
        <w:rPr>
          <w:rFonts w:ascii="David" w:hAnsi="David" w:cs="David"/>
          <w:spacing w:val="6"/>
          <w:sz w:val="24"/>
          <w:szCs w:val="24"/>
          <w:rtl/>
        </w:rPr>
        <w:t xml:space="preserve">התובעת לא הוכיחה כי הופרה התחייבות חוזית כלשהי; נהפוך הוא, עצם העובדה כי הצדדים גרושים כעת מעידה בבירור </w:t>
      </w:r>
      <w:r w:rsidR="00163949">
        <w:rPr>
          <w:rFonts w:ascii="David" w:hAnsi="David" w:cs="David" w:hint="cs"/>
          <w:spacing w:val="6"/>
          <w:sz w:val="24"/>
          <w:szCs w:val="24"/>
          <w:rtl/>
        </w:rPr>
        <w:t>ש</w:t>
      </w:r>
      <w:r>
        <w:rPr>
          <w:rFonts w:ascii="David" w:hAnsi="David" w:cs="David"/>
          <w:spacing w:val="6"/>
          <w:sz w:val="24"/>
          <w:szCs w:val="24"/>
          <w:rtl/>
        </w:rPr>
        <w:t>הנתבע עמד בהתחייבויותיו; התובעת אף לא הוכיחה עוולת רשלנות או הפרת חובה חקוקה.</w:t>
      </w:r>
    </w:p>
    <w:p w:rsidR="00A76863" w:rsidRDefault="00A76863" w:rsidP="00A76863">
      <w:pPr>
        <w:pStyle w:val="ad"/>
        <w:spacing w:after="0" w:line="306" w:lineRule="exact"/>
        <w:ind w:left="869"/>
        <w:jc w:val="both"/>
        <w:rPr>
          <w:rFonts w:ascii="David" w:hAnsi="David" w:cs="David"/>
          <w:spacing w:val="6"/>
          <w:sz w:val="24"/>
          <w:szCs w:val="24"/>
        </w:rPr>
      </w:pPr>
    </w:p>
    <w:p w:rsidR="00A76863" w:rsidRDefault="00A76863" w:rsidP="008A4988">
      <w:pPr>
        <w:pStyle w:val="ad"/>
        <w:numPr>
          <w:ilvl w:val="0"/>
          <w:numId w:val="4"/>
        </w:numPr>
        <w:spacing w:after="0" w:line="306" w:lineRule="exact"/>
        <w:jc w:val="both"/>
        <w:rPr>
          <w:rFonts w:ascii="David" w:hAnsi="David" w:cs="David"/>
          <w:spacing w:val="6"/>
          <w:sz w:val="24"/>
          <w:szCs w:val="24"/>
        </w:rPr>
      </w:pPr>
      <w:r>
        <w:rPr>
          <w:rFonts w:ascii="David" w:hAnsi="David" w:cs="David"/>
          <w:spacing w:val="6"/>
          <w:sz w:val="24"/>
          <w:szCs w:val="24"/>
          <w:rtl/>
        </w:rPr>
        <w:t xml:space="preserve">התובעת לא הוכיחה כל נזק כלכלי, גופני או נפשי, עת לא הוגשה כל חוות דעת או ראייה או מסמך כלשהו המעיד על "נזק" או "פיצוי", ולא ברור כיצד הגיעה לחישוב וסכום הנזק הנתבע </w:t>
      </w:r>
      <w:r w:rsidR="008A4988">
        <w:rPr>
          <w:rFonts w:ascii="David" w:hAnsi="David" w:cs="David" w:hint="cs"/>
          <w:spacing w:val="6"/>
          <w:sz w:val="24"/>
          <w:szCs w:val="24"/>
          <w:rtl/>
        </w:rPr>
        <w:t xml:space="preserve">הוא </w:t>
      </w:r>
      <w:r>
        <w:rPr>
          <w:rFonts w:ascii="David" w:hAnsi="David" w:cs="David"/>
          <w:spacing w:val="6"/>
          <w:sz w:val="24"/>
          <w:szCs w:val="24"/>
          <w:rtl/>
        </w:rPr>
        <w:t>דמיוני</w:t>
      </w:r>
      <w:r w:rsidR="008A4988">
        <w:rPr>
          <w:rFonts w:ascii="David" w:hAnsi="David" w:cs="David" w:hint="cs"/>
          <w:spacing w:val="6"/>
          <w:sz w:val="24"/>
          <w:szCs w:val="24"/>
          <w:rtl/>
        </w:rPr>
        <w:t xml:space="preserve">, ללא כל </w:t>
      </w:r>
      <w:r>
        <w:rPr>
          <w:rFonts w:ascii="David" w:hAnsi="David" w:cs="David"/>
          <w:spacing w:val="6"/>
          <w:sz w:val="24"/>
          <w:szCs w:val="24"/>
          <w:rtl/>
        </w:rPr>
        <w:t>אחיזה במציאות.</w:t>
      </w:r>
    </w:p>
    <w:p w:rsidR="00A76863" w:rsidRPr="008A4988" w:rsidRDefault="00A76863" w:rsidP="00A76863">
      <w:pPr>
        <w:pStyle w:val="ad"/>
        <w:spacing w:after="0" w:line="306" w:lineRule="exact"/>
        <w:rPr>
          <w:rFonts w:ascii="David" w:hAnsi="David" w:cs="David"/>
          <w:spacing w:val="6"/>
          <w:sz w:val="24"/>
          <w:szCs w:val="24"/>
        </w:rPr>
      </w:pPr>
    </w:p>
    <w:p w:rsidR="00A76863" w:rsidRDefault="00A76863" w:rsidP="008A4988">
      <w:pPr>
        <w:pStyle w:val="ad"/>
        <w:numPr>
          <w:ilvl w:val="0"/>
          <w:numId w:val="4"/>
        </w:numPr>
        <w:spacing w:after="0" w:line="306" w:lineRule="exact"/>
        <w:jc w:val="both"/>
        <w:rPr>
          <w:rFonts w:ascii="David" w:hAnsi="David" w:cs="David"/>
          <w:spacing w:val="6"/>
          <w:sz w:val="24"/>
          <w:szCs w:val="24"/>
          <w:rtl/>
        </w:rPr>
      </w:pPr>
      <w:r>
        <w:rPr>
          <w:rFonts w:ascii="David" w:hAnsi="David" w:cs="David"/>
          <w:spacing w:val="6"/>
          <w:sz w:val="24"/>
          <w:szCs w:val="24"/>
          <w:rtl/>
        </w:rPr>
        <w:t>התובעת לא הוכיחה כי הנתבע עיגן אותה</w:t>
      </w:r>
      <w:r w:rsidR="008A4988">
        <w:rPr>
          <w:rFonts w:ascii="David" w:hAnsi="David" w:cs="David" w:hint="cs"/>
          <w:spacing w:val="6"/>
          <w:sz w:val="24"/>
          <w:szCs w:val="24"/>
          <w:rtl/>
        </w:rPr>
        <w:t xml:space="preserve">; אדרבא, </w:t>
      </w:r>
      <w:r>
        <w:rPr>
          <w:rFonts w:ascii="David" w:hAnsi="David" w:cs="David"/>
          <w:spacing w:val="6"/>
          <w:sz w:val="24"/>
          <w:szCs w:val="24"/>
          <w:rtl/>
        </w:rPr>
        <w:t xml:space="preserve">התמשכות ההליכים נגרמה באשמתה ובהתנהלותה של התובעת וכן בשל דחיית מועדי הדיון שנקבעו על ידי בית הדין בשל </w:t>
      </w:r>
      <w:r w:rsidR="008A4988">
        <w:rPr>
          <w:rFonts w:ascii="David" w:hAnsi="David" w:cs="David" w:hint="cs"/>
          <w:spacing w:val="6"/>
          <w:sz w:val="24"/>
          <w:szCs w:val="24"/>
          <w:rtl/>
        </w:rPr>
        <w:t xml:space="preserve">משבר </w:t>
      </w:r>
      <w:r>
        <w:rPr>
          <w:rFonts w:ascii="David" w:hAnsi="David" w:cs="David"/>
          <w:spacing w:val="6"/>
          <w:sz w:val="24"/>
          <w:szCs w:val="24"/>
          <w:rtl/>
        </w:rPr>
        <w:t>הקורונה, ללא שום קשר לנתבע.</w:t>
      </w:r>
    </w:p>
    <w:p w:rsidR="00A76863" w:rsidRDefault="00A76863" w:rsidP="00A76863">
      <w:pPr>
        <w:pStyle w:val="ad"/>
        <w:spacing w:after="0" w:line="306" w:lineRule="exact"/>
        <w:rPr>
          <w:rFonts w:ascii="David" w:hAnsi="David" w:cs="David"/>
          <w:spacing w:val="6"/>
          <w:sz w:val="24"/>
          <w:szCs w:val="24"/>
        </w:rPr>
      </w:pPr>
    </w:p>
    <w:p w:rsidR="00A76863" w:rsidRDefault="00A76863" w:rsidP="005B0D4D">
      <w:pPr>
        <w:pStyle w:val="ad"/>
        <w:numPr>
          <w:ilvl w:val="0"/>
          <w:numId w:val="4"/>
        </w:numPr>
        <w:spacing w:after="0" w:line="306" w:lineRule="exact"/>
        <w:jc w:val="both"/>
        <w:rPr>
          <w:rFonts w:ascii="David" w:hAnsi="David" w:cs="David"/>
          <w:spacing w:val="6"/>
          <w:sz w:val="24"/>
          <w:szCs w:val="24"/>
          <w:rtl/>
        </w:rPr>
      </w:pPr>
      <w:r>
        <w:rPr>
          <w:rFonts w:ascii="David" w:hAnsi="David" w:cs="David"/>
          <w:spacing w:val="6"/>
          <w:sz w:val="24"/>
          <w:szCs w:val="24"/>
          <w:rtl/>
        </w:rPr>
        <w:t xml:space="preserve">התובעת לא הוכיחה את כל אירועי האלימות הנטענים; נהפוך הוא, הוכח כי היא זו שפעלה באלימות עת הוגשו כנגדה תלונות במשטרה וכי ההליכים </w:t>
      </w:r>
      <w:r w:rsidR="005B0D4D">
        <w:rPr>
          <w:rFonts w:ascii="David" w:hAnsi="David" w:cs="David" w:hint="cs"/>
          <w:spacing w:val="6"/>
          <w:sz w:val="24"/>
          <w:szCs w:val="24"/>
          <w:rtl/>
        </w:rPr>
        <w:t xml:space="preserve">כולם </w:t>
      </w:r>
      <w:r>
        <w:rPr>
          <w:rFonts w:ascii="David" w:hAnsi="David" w:cs="David"/>
          <w:spacing w:val="6"/>
          <w:sz w:val="24"/>
          <w:szCs w:val="24"/>
          <w:rtl/>
        </w:rPr>
        <w:t>נדחו על הסף.</w:t>
      </w:r>
    </w:p>
    <w:p w:rsidR="00A76863" w:rsidRDefault="00A76863" w:rsidP="00A76863">
      <w:pPr>
        <w:pStyle w:val="ad"/>
        <w:spacing w:after="0" w:line="306" w:lineRule="exact"/>
        <w:rPr>
          <w:rFonts w:ascii="David" w:hAnsi="David" w:cs="David"/>
          <w:spacing w:val="6"/>
          <w:sz w:val="24"/>
          <w:szCs w:val="24"/>
        </w:rPr>
      </w:pPr>
    </w:p>
    <w:p w:rsidR="00A76863" w:rsidRDefault="00A76863" w:rsidP="005B0D4D">
      <w:pPr>
        <w:pStyle w:val="ad"/>
        <w:numPr>
          <w:ilvl w:val="0"/>
          <w:numId w:val="4"/>
        </w:numPr>
        <w:spacing w:after="0" w:line="306" w:lineRule="exact"/>
        <w:jc w:val="both"/>
        <w:rPr>
          <w:rFonts w:ascii="David" w:hAnsi="David" w:cs="David"/>
          <w:spacing w:val="6"/>
          <w:sz w:val="24"/>
          <w:szCs w:val="24"/>
          <w:rtl/>
        </w:rPr>
      </w:pPr>
      <w:r>
        <w:rPr>
          <w:rFonts w:ascii="David" w:hAnsi="David" w:cs="David"/>
          <w:spacing w:val="6"/>
          <w:sz w:val="24"/>
          <w:szCs w:val="24"/>
          <w:rtl/>
        </w:rPr>
        <w:t xml:space="preserve">לא הוכח כי הנתבע סרבן גט ולא הוצגה כל החלטה </w:t>
      </w:r>
      <w:r w:rsidR="005B0D4D">
        <w:rPr>
          <w:rFonts w:ascii="David" w:hAnsi="David" w:cs="David" w:hint="cs"/>
          <w:spacing w:val="6"/>
          <w:sz w:val="24"/>
          <w:szCs w:val="24"/>
          <w:rtl/>
        </w:rPr>
        <w:t xml:space="preserve">של </w:t>
      </w:r>
      <w:r>
        <w:rPr>
          <w:rFonts w:ascii="David" w:hAnsi="David" w:cs="David"/>
          <w:spacing w:val="6"/>
          <w:sz w:val="24"/>
          <w:szCs w:val="24"/>
          <w:rtl/>
        </w:rPr>
        <w:t>בית הדין המחייבת אותו בעניין.</w:t>
      </w:r>
    </w:p>
    <w:p w:rsidR="00A76863" w:rsidRDefault="00A76863" w:rsidP="00A76863">
      <w:pPr>
        <w:spacing w:line="306" w:lineRule="exact"/>
        <w:jc w:val="both"/>
        <w:rPr>
          <w:rFonts w:ascii="David" w:hAnsi="David"/>
          <w:spacing w:val="6"/>
        </w:rPr>
      </w:pPr>
    </w:p>
    <w:p w:rsidR="00A76863" w:rsidRDefault="00A76863" w:rsidP="00A76863">
      <w:pPr>
        <w:spacing w:line="306" w:lineRule="exact"/>
        <w:jc w:val="both"/>
        <w:rPr>
          <w:rFonts w:ascii="David" w:hAnsi="David"/>
          <w:b/>
          <w:bCs/>
          <w:spacing w:val="6"/>
          <w:u w:val="thick"/>
        </w:rPr>
      </w:pPr>
      <w:r>
        <w:rPr>
          <w:rFonts w:ascii="David" w:hAnsi="David"/>
          <w:b/>
          <w:bCs/>
          <w:spacing w:val="6"/>
          <w:u w:val="thick"/>
          <w:rtl/>
        </w:rPr>
        <w:t>דיון והכרעה</w:t>
      </w:r>
    </w:p>
    <w:p w:rsidR="00A76863" w:rsidRDefault="00A76863" w:rsidP="00A76863">
      <w:pPr>
        <w:spacing w:line="306" w:lineRule="exact"/>
        <w:jc w:val="both"/>
        <w:rPr>
          <w:rFonts w:ascii="David" w:hAnsi="David"/>
          <w:b/>
          <w:bCs/>
          <w:spacing w:val="6"/>
          <w:u w:val="thick"/>
          <w:rtl/>
        </w:rPr>
      </w:pPr>
    </w:p>
    <w:p w:rsidR="00A76863" w:rsidRDefault="00A76863" w:rsidP="00A76863">
      <w:pPr>
        <w:pStyle w:val="Style1"/>
        <w:numPr>
          <w:ilvl w:val="0"/>
          <w:numId w:val="0"/>
        </w:numPr>
        <w:spacing w:after="0" w:line="306" w:lineRule="exact"/>
        <w:ind w:left="84"/>
        <w:rPr>
          <w:b/>
          <w:bCs/>
          <w:spacing w:val="6"/>
          <w:u w:val="thick"/>
          <w:rtl/>
        </w:rPr>
      </w:pPr>
      <w:r>
        <w:rPr>
          <w:rFonts w:hint="cs"/>
          <w:b/>
          <w:bCs/>
          <w:spacing w:val="6"/>
          <w:u w:val="thick"/>
          <w:rtl/>
        </w:rPr>
        <w:t>טענה מקדמית – סילוק על הסף</w:t>
      </w:r>
    </w:p>
    <w:p w:rsidR="00A76863" w:rsidRDefault="00A76863" w:rsidP="00A76863">
      <w:pPr>
        <w:pStyle w:val="ad"/>
        <w:spacing w:after="0" w:line="306" w:lineRule="exact"/>
        <w:ind w:left="509"/>
        <w:jc w:val="both"/>
        <w:rPr>
          <w:rFonts w:ascii="David" w:hAnsi="David" w:cs="David"/>
          <w:spacing w:val="6"/>
          <w:sz w:val="24"/>
          <w:szCs w:val="24"/>
        </w:rPr>
      </w:pPr>
    </w:p>
    <w:p w:rsidR="00A76863" w:rsidRDefault="00A76863" w:rsidP="005B0D4D">
      <w:pPr>
        <w:pStyle w:val="ad"/>
        <w:numPr>
          <w:ilvl w:val="0"/>
          <w:numId w:val="2"/>
        </w:numPr>
        <w:spacing w:after="0" w:line="306" w:lineRule="exact"/>
        <w:ind w:left="509"/>
        <w:jc w:val="both"/>
        <w:rPr>
          <w:rFonts w:ascii="David" w:hAnsi="David" w:cs="David"/>
          <w:spacing w:val="6"/>
          <w:sz w:val="24"/>
          <w:szCs w:val="24"/>
        </w:rPr>
      </w:pPr>
      <w:r>
        <w:rPr>
          <w:rFonts w:ascii="David" w:hAnsi="David" w:cs="David"/>
          <w:spacing w:val="6"/>
          <w:sz w:val="24"/>
          <w:szCs w:val="24"/>
          <w:rtl/>
        </w:rPr>
        <w:t>אקדים תחילה וא</w:t>
      </w:r>
      <w:r w:rsidR="005B0D4D">
        <w:rPr>
          <w:rFonts w:ascii="David" w:hAnsi="David" w:cs="David" w:hint="cs"/>
          <w:spacing w:val="6"/>
          <w:sz w:val="24"/>
          <w:szCs w:val="24"/>
          <w:rtl/>
        </w:rPr>
        <w:t>דרש</w:t>
      </w:r>
      <w:r>
        <w:rPr>
          <w:rFonts w:ascii="David" w:hAnsi="David" w:cs="David"/>
          <w:spacing w:val="6"/>
          <w:sz w:val="24"/>
          <w:szCs w:val="24"/>
          <w:rtl/>
        </w:rPr>
        <w:t xml:space="preserve"> לטענת הנתבע, לפיה דין התובענה להידחות על הסף מן הטעם, כי הסעד שהתבקש בתובענה זהה לסעד לו עתרה התובעת בבית הדין במסגרת תביעת הגירושין שהוגשה על ידה.</w:t>
      </w:r>
    </w:p>
    <w:p w:rsidR="00A76863" w:rsidRPr="005B0D4D" w:rsidRDefault="00A76863" w:rsidP="00A76863">
      <w:pPr>
        <w:pStyle w:val="ad"/>
        <w:spacing w:after="0" w:line="306" w:lineRule="exact"/>
        <w:ind w:left="509"/>
        <w:jc w:val="both"/>
        <w:rPr>
          <w:rFonts w:ascii="David" w:hAnsi="David" w:cs="David"/>
          <w:spacing w:val="6"/>
          <w:sz w:val="24"/>
          <w:szCs w:val="24"/>
        </w:rPr>
      </w:pPr>
    </w:p>
    <w:p w:rsidR="00A76863" w:rsidRPr="005B0D4D" w:rsidRDefault="00A76863" w:rsidP="005B0D4D">
      <w:pPr>
        <w:pStyle w:val="ad"/>
        <w:numPr>
          <w:ilvl w:val="0"/>
          <w:numId w:val="2"/>
        </w:numPr>
        <w:spacing w:after="0" w:line="306" w:lineRule="exact"/>
        <w:ind w:left="509"/>
        <w:jc w:val="both"/>
        <w:rPr>
          <w:rFonts w:ascii="David" w:hAnsi="David" w:cs="David"/>
          <w:spacing w:val="6"/>
          <w:sz w:val="24"/>
          <w:szCs w:val="24"/>
        </w:rPr>
      </w:pPr>
      <w:r w:rsidRPr="005B0D4D">
        <w:rPr>
          <w:rFonts w:ascii="David" w:hAnsi="David" w:cs="David"/>
          <w:spacing w:val="6"/>
          <w:sz w:val="24"/>
          <w:szCs w:val="24"/>
          <w:rtl/>
        </w:rPr>
        <w:t>המדובר בטענה שהועלתה אך לראשונה במסגרת סיכומי הנתבע ואין לה כל זכר בכתב ההגנה או בתצהיר עדות ראשית</w:t>
      </w:r>
      <w:r w:rsidR="005B0D4D" w:rsidRPr="005B0D4D">
        <w:rPr>
          <w:rFonts w:ascii="David" w:hAnsi="David" w:cs="David" w:hint="cs"/>
          <w:spacing w:val="6"/>
          <w:sz w:val="24"/>
          <w:szCs w:val="24"/>
          <w:rtl/>
        </w:rPr>
        <w:t xml:space="preserve"> מטעם הנתבע</w:t>
      </w:r>
      <w:r w:rsidRPr="005B0D4D">
        <w:rPr>
          <w:rFonts w:ascii="David" w:hAnsi="David" w:cs="David"/>
          <w:spacing w:val="6"/>
          <w:sz w:val="24"/>
          <w:szCs w:val="24"/>
          <w:rtl/>
        </w:rPr>
        <w:t>, והיא מהווה הרחבת חזית.</w:t>
      </w:r>
    </w:p>
    <w:p w:rsidR="00A76863" w:rsidRPr="005B0D4D" w:rsidRDefault="00A76863" w:rsidP="00A76863">
      <w:pPr>
        <w:pStyle w:val="ad"/>
        <w:spacing w:after="0" w:line="306" w:lineRule="exact"/>
        <w:ind w:left="509"/>
        <w:jc w:val="both"/>
        <w:rPr>
          <w:rFonts w:ascii="David" w:hAnsi="David" w:cs="David"/>
          <w:spacing w:val="6"/>
          <w:sz w:val="24"/>
          <w:szCs w:val="24"/>
          <w:rtl/>
        </w:rPr>
      </w:pPr>
    </w:p>
    <w:p w:rsidR="00A76863" w:rsidRDefault="00A76863" w:rsidP="005B0D4D">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lastRenderedPageBreak/>
        <w:t xml:space="preserve">יצוין, כי לא הייתה מניעה </w:t>
      </w:r>
      <w:r w:rsidR="005B0D4D">
        <w:rPr>
          <w:rFonts w:ascii="David" w:hAnsi="David" w:cs="David" w:hint="cs"/>
          <w:spacing w:val="6"/>
          <w:sz w:val="24"/>
          <w:szCs w:val="24"/>
          <w:rtl/>
        </w:rPr>
        <w:t xml:space="preserve">בעד הנתבע לטעון </w:t>
      </w:r>
      <w:r>
        <w:rPr>
          <w:rFonts w:ascii="David" w:hAnsi="David" w:cs="David"/>
          <w:spacing w:val="6"/>
          <w:sz w:val="24"/>
          <w:szCs w:val="24"/>
          <w:rtl/>
        </w:rPr>
        <w:t>את הטענה קודם לכן, שכן תביעת הגירושין הוגשה ביום 14.7.2020 והסעדים שנעתרו במסגרתה היו ידועים היטב לנתבע</w:t>
      </w:r>
      <w:r w:rsidR="005B0D4D">
        <w:rPr>
          <w:rFonts w:ascii="David" w:hAnsi="David" w:cs="David" w:hint="cs"/>
          <w:spacing w:val="6"/>
          <w:sz w:val="24"/>
          <w:szCs w:val="24"/>
          <w:rtl/>
        </w:rPr>
        <w:t xml:space="preserve"> כבר </w:t>
      </w:r>
      <w:r>
        <w:rPr>
          <w:rFonts w:ascii="David" w:hAnsi="David" w:cs="David"/>
          <w:spacing w:val="6"/>
          <w:sz w:val="24"/>
          <w:szCs w:val="24"/>
          <w:rtl/>
        </w:rPr>
        <w:t>במועד שהגיש את כתב ההגנה מטעמו ו</w:t>
      </w:r>
      <w:r w:rsidR="005B0D4D">
        <w:rPr>
          <w:rFonts w:ascii="David" w:hAnsi="David" w:cs="David" w:hint="cs"/>
          <w:spacing w:val="6"/>
          <w:sz w:val="24"/>
          <w:szCs w:val="24"/>
          <w:rtl/>
        </w:rPr>
        <w:t xml:space="preserve">בוודאי במועד </w:t>
      </w:r>
      <w:r>
        <w:rPr>
          <w:rFonts w:ascii="David" w:hAnsi="David" w:cs="David"/>
          <w:spacing w:val="6"/>
          <w:sz w:val="24"/>
          <w:szCs w:val="24"/>
          <w:rtl/>
        </w:rPr>
        <w:t>שלב ההוכחות ב</w:t>
      </w:r>
      <w:r w:rsidR="005B0D4D">
        <w:rPr>
          <w:rFonts w:ascii="David" w:hAnsi="David" w:cs="David" w:hint="cs"/>
          <w:spacing w:val="6"/>
          <w:sz w:val="24"/>
          <w:szCs w:val="24"/>
          <w:rtl/>
        </w:rPr>
        <w:t xml:space="preserve">הליך, </w:t>
      </w:r>
      <w:r>
        <w:rPr>
          <w:rFonts w:ascii="David" w:hAnsi="David" w:cs="David"/>
          <w:spacing w:val="6"/>
          <w:sz w:val="24"/>
          <w:szCs w:val="24"/>
          <w:rtl/>
        </w:rPr>
        <w:t xml:space="preserve"> ובכל זאת </w:t>
      </w:r>
      <w:r w:rsidR="005B0D4D">
        <w:rPr>
          <w:rFonts w:ascii="David" w:hAnsi="David" w:cs="David" w:hint="cs"/>
          <w:spacing w:val="6"/>
          <w:sz w:val="24"/>
          <w:szCs w:val="24"/>
          <w:rtl/>
        </w:rPr>
        <w:t xml:space="preserve">הוא </w:t>
      </w:r>
      <w:r>
        <w:rPr>
          <w:rFonts w:ascii="David" w:hAnsi="David" w:cs="David"/>
          <w:spacing w:val="6"/>
          <w:sz w:val="24"/>
          <w:szCs w:val="24"/>
          <w:rtl/>
        </w:rPr>
        <w:t>לא מצא לנכון לעלות כל טענה בעניין.</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2B3219">
      <w:pPr>
        <w:pStyle w:val="ad"/>
        <w:spacing w:after="0" w:line="306" w:lineRule="exact"/>
        <w:ind w:left="509"/>
        <w:jc w:val="both"/>
        <w:rPr>
          <w:rFonts w:ascii="David" w:hAnsi="David"/>
          <w:spacing w:val="6"/>
          <w:sz w:val="24"/>
          <w:szCs w:val="24"/>
          <w:rtl/>
        </w:rPr>
      </w:pPr>
      <w:r>
        <w:rPr>
          <w:rFonts w:ascii="David" w:hAnsi="David" w:cs="David"/>
          <w:spacing w:val="6"/>
          <w:sz w:val="24"/>
          <w:szCs w:val="24"/>
          <w:rtl/>
        </w:rPr>
        <w:t xml:space="preserve">העלאת טענה </w:t>
      </w:r>
      <w:r w:rsidRPr="005B0D4D">
        <w:rPr>
          <w:rFonts w:ascii="David" w:hAnsi="David" w:cs="David"/>
          <w:b/>
          <w:bCs/>
          <w:spacing w:val="6"/>
          <w:sz w:val="24"/>
          <w:szCs w:val="24"/>
          <w:rtl/>
        </w:rPr>
        <w:t>לראשונה</w:t>
      </w:r>
      <w:r>
        <w:rPr>
          <w:rFonts w:ascii="David" w:hAnsi="David" w:cs="David"/>
          <w:spacing w:val="6"/>
          <w:sz w:val="24"/>
          <w:szCs w:val="24"/>
          <w:rtl/>
        </w:rPr>
        <w:t xml:space="preserve"> במסגרת הסיכומים הינה בבחינת </w:t>
      </w:r>
      <w:r>
        <w:rPr>
          <w:rFonts w:ascii="David" w:hAnsi="David" w:cs="David"/>
          <w:b/>
          <w:bCs/>
          <w:spacing w:val="6"/>
          <w:sz w:val="24"/>
          <w:szCs w:val="24"/>
          <w:rtl/>
        </w:rPr>
        <w:t>הרחבת חזית אסורה</w:t>
      </w:r>
      <w:r>
        <w:rPr>
          <w:rFonts w:ascii="David" w:hAnsi="David" w:cs="David"/>
          <w:spacing w:val="6"/>
          <w:sz w:val="24"/>
          <w:szCs w:val="24"/>
          <w:rtl/>
        </w:rPr>
        <w:t xml:space="preserve">, ומשכך פטור בית המשפט מלדון בה ויש </w:t>
      </w:r>
      <w:r>
        <w:rPr>
          <w:rFonts w:ascii="David" w:hAnsi="David" w:cs="David"/>
          <w:b/>
          <w:bCs/>
          <w:spacing w:val="6"/>
          <w:sz w:val="24"/>
          <w:szCs w:val="24"/>
          <w:rtl/>
        </w:rPr>
        <w:t xml:space="preserve">לדחותה על הסף </w:t>
      </w:r>
      <w:r>
        <w:rPr>
          <w:rFonts w:ascii="David" w:hAnsi="David" w:cs="David"/>
          <w:spacing w:val="6"/>
          <w:sz w:val="24"/>
          <w:szCs w:val="24"/>
          <w:rtl/>
        </w:rPr>
        <w:t>[</w:t>
      </w:r>
      <w:r>
        <w:rPr>
          <w:rFonts w:ascii="Miriam" w:hAnsi="Miriam" w:cs="Miriam"/>
          <w:spacing w:val="6"/>
          <w:sz w:val="24"/>
          <w:szCs w:val="24"/>
          <w:rtl/>
        </w:rPr>
        <w:t>ע"א 85606/06 אמריק</w:t>
      </w:r>
      <w:r w:rsidR="002B3219">
        <w:rPr>
          <w:rFonts w:ascii="Miriam" w:hAnsi="Miriam" w:cs="Miriam" w:hint="cs"/>
          <w:spacing w:val="6"/>
          <w:sz w:val="24"/>
          <w:szCs w:val="24"/>
          <w:rtl/>
        </w:rPr>
        <w:t>ר</w:t>
      </w:r>
      <w:r>
        <w:rPr>
          <w:rFonts w:ascii="Miriam" w:hAnsi="Miriam" w:cs="Miriam"/>
          <w:spacing w:val="6"/>
          <w:sz w:val="24"/>
          <w:szCs w:val="24"/>
          <w:rtl/>
        </w:rPr>
        <w:t xml:space="preserve"> שירותי ניהול וייעוץ (1987) בע"מ נ' מליבו-ישראל בע"מ (8.11.2009); ע"א 8023/16 ארביב אור נ' פנטופט ג'נאח (20.8.2019)</w:t>
      </w:r>
      <w:r>
        <w:rPr>
          <w:rFonts w:ascii="David" w:hAnsi="David"/>
          <w:spacing w:val="6"/>
          <w:sz w:val="24"/>
          <w:szCs w:val="24"/>
          <w:rtl/>
        </w:rPr>
        <w:t>].</w:t>
      </w:r>
    </w:p>
    <w:p w:rsidR="008B0E6A" w:rsidRDefault="008B0E6A" w:rsidP="002B3219">
      <w:pPr>
        <w:pStyle w:val="ad"/>
        <w:spacing w:after="0" w:line="306" w:lineRule="exact"/>
        <w:ind w:left="509"/>
        <w:jc w:val="both"/>
        <w:rPr>
          <w:rFonts w:ascii="David" w:hAnsi="David" w:cs="David"/>
          <w:spacing w:val="6"/>
          <w:sz w:val="24"/>
          <w:szCs w:val="24"/>
          <w:rtl/>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b/>
          <w:bCs/>
          <w:spacing w:val="6"/>
          <w:sz w:val="24"/>
          <w:szCs w:val="24"/>
          <w:rtl/>
        </w:rPr>
        <w:t>יש לדחות גם את הטענה לגופה</w:t>
      </w:r>
      <w:r>
        <w:rPr>
          <w:rFonts w:ascii="David" w:hAnsi="David" w:cs="David"/>
          <w:spacing w:val="6"/>
          <w:sz w:val="24"/>
          <w:szCs w:val="24"/>
          <w:rtl/>
        </w:rPr>
        <w:t>.</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2B3219">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עיון בתביעת הגירושין (נ/ה') מלמד כי התובעת עתרה לחיוב הנתבע ב'כתובתה' וכן ב'תוספת לכתובתה' בדמות פיצוי "</w:t>
      </w:r>
      <w:r>
        <w:rPr>
          <w:rFonts w:ascii="Miriam" w:hAnsi="Miriam" w:cs="Miriam"/>
          <w:spacing w:val="6"/>
          <w:sz w:val="24"/>
          <w:szCs w:val="24"/>
          <w:rtl/>
        </w:rPr>
        <w:t>בגין מעללי הבעל במהלך השנים בגינם נזקקה האישה לטיפולים משקמים...</w:t>
      </w:r>
      <w:r>
        <w:rPr>
          <w:rFonts w:ascii="David" w:hAnsi="David" w:cs="David"/>
          <w:spacing w:val="6"/>
          <w:sz w:val="24"/>
          <w:szCs w:val="24"/>
          <w:rtl/>
        </w:rPr>
        <w:t>" (</w:t>
      </w:r>
      <w:r w:rsidR="002B3219">
        <w:rPr>
          <w:rFonts w:ascii="David" w:hAnsi="David" w:cs="David" w:hint="cs"/>
          <w:spacing w:val="6"/>
          <w:sz w:val="24"/>
          <w:szCs w:val="24"/>
          <w:rtl/>
        </w:rPr>
        <w:t xml:space="preserve">שם, </w:t>
      </w:r>
      <w:r>
        <w:rPr>
          <w:rFonts w:ascii="David" w:hAnsi="David" w:cs="David"/>
          <w:spacing w:val="6"/>
          <w:sz w:val="24"/>
          <w:szCs w:val="24"/>
          <w:rtl/>
        </w:rPr>
        <w:t>סעיף 30 לתביעת הגירושין) וזאת לאחר שגוללה את מסכת ההתעללות הנפשית והפיזית שעברה, לטענתה, במשך כל חיי הנישואין, למן ראשיתם.</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2B3219">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הטענה בסיכומי הנתבע, כי התובעת עתרה לבית הדין לקבל אותו סעד של פיצוי וההפניה לסעיף 36 לתביעת הגירושין אינה מדויקת כלל וכלל; בסעיף הנ"ל מציינת התובעת את ההסכם וההתחייבות להגשת בקשה משותפת לסידור גט כחלק מהמסכת העובדתית שיש בה, לטענתה, כדי לבסס את </w:t>
      </w:r>
      <w:r>
        <w:rPr>
          <w:rFonts w:ascii="David" w:hAnsi="David" w:cs="David"/>
          <w:b/>
          <w:bCs/>
          <w:spacing w:val="6"/>
          <w:sz w:val="24"/>
          <w:szCs w:val="24"/>
          <w:rtl/>
        </w:rPr>
        <w:t>עילות תביעתה</w:t>
      </w:r>
      <w:r>
        <w:rPr>
          <w:rFonts w:ascii="David" w:hAnsi="David" w:cs="David"/>
          <w:spacing w:val="6"/>
          <w:sz w:val="24"/>
          <w:szCs w:val="24"/>
          <w:rtl/>
        </w:rPr>
        <w:t xml:space="preserve"> </w:t>
      </w:r>
      <w:r w:rsidR="002B3219">
        <w:rPr>
          <w:rFonts w:ascii="David" w:hAnsi="David" w:cs="David" w:hint="cs"/>
          <w:spacing w:val="6"/>
          <w:sz w:val="24"/>
          <w:szCs w:val="24"/>
          <w:rtl/>
        </w:rPr>
        <w:t xml:space="preserve">כדלקמן </w:t>
      </w:r>
      <w:r>
        <w:rPr>
          <w:rFonts w:ascii="David" w:hAnsi="David" w:cs="David"/>
          <w:spacing w:val="6"/>
          <w:sz w:val="24"/>
          <w:szCs w:val="24"/>
          <w:rtl/>
        </w:rPr>
        <w:t xml:space="preserve">(ואלה </w:t>
      </w:r>
      <w:r w:rsidR="002B3219">
        <w:rPr>
          <w:rFonts w:ascii="David" w:hAnsi="David" w:cs="David" w:hint="cs"/>
          <w:spacing w:val="6"/>
          <w:sz w:val="24"/>
          <w:szCs w:val="24"/>
          <w:rtl/>
        </w:rPr>
        <w:t xml:space="preserve">הן </w:t>
      </w:r>
      <w:r>
        <w:rPr>
          <w:rFonts w:ascii="David" w:hAnsi="David" w:cs="David"/>
          <w:spacing w:val="6"/>
          <w:sz w:val="24"/>
          <w:szCs w:val="24"/>
          <w:rtl/>
        </w:rPr>
        <w:t xml:space="preserve">בלבד): </w:t>
      </w:r>
      <w:r>
        <w:rPr>
          <w:rFonts w:ascii="David" w:hAnsi="David" w:cs="David"/>
          <w:b/>
          <w:bCs/>
          <w:spacing w:val="6"/>
          <w:sz w:val="24"/>
          <w:szCs w:val="24"/>
          <w:u w:val="single"/>
          <w:rtl/>
        </w:rPr>
        <w:t>חיוב בגט</w:t>
      </w:r>
      <w:r>
        <w:rPr>
          <w:rFonts w:ascii="David" w:hAnsi="David" w:cs="David"/>
          <w:spacing w:val="6"/>
          <w:sz w:val="24"/>
          <w:szCs w:val="24"/>
          <w:rtl/>
        </w:rPr>
        <w:t xml:space="preserve">; </w:t>
      </w:r>
      <w:r>
        <w:rPr>
          <w:rFonts w:ascii="David" w:hAnsi="David" w:cs="David"/>
          <w:b/>
          <w:bCs/>
          <w:spacing w:val="6"/>
          <w:sz w:val="24"/>
          <w:szCs w:val="24"/>
          <w:u w:val="single"/>
          <w:rtl/>
        </w:rPr>
        <w:t>חיוב במזונות אישה</w:t>
      </w:r>
      <w:r>
        <w:rPr>
          <w:rFonts w:ascii="David" w:hAnsi="David" w:cs="David"/>
          <w:spacing w:val="6"/>
          <w:sz w:val="24"/>
          <w:szCs w:val="24"/>
          <w:rtl/>
        </w:rPr>
        <w:t>; ו</w:t>
      </w:r>
      <w:r>
        <w:rPr>
          <w:rFonts w:ascii="David" w:hAnsi="David" w:cs="David"/>
          <w:b/>
          <w:bCs/>
          <w:spacing w:val="6"/>
          <w:sz w:val="24"/>
          <w:szCs w:val="24"/>
          <w:u w:val="single"/>
          <w:rtl/>
        </w:rPr>
        <w:t>חיוב כתובתה ותוספותיה</w:t>
      </w:r>
      <w:r>
        <w:rPr>
          <w:rFonts w:ascii="David" w:hAnsi="David" w:cs="David"/>
          <w:spacing w:val="6"/>
          <w:sz w:val="24"/>
          <w:szCs w:val="24"/>
          <w:rtl/>
        </w:rPr>
        <w:t xml:space="preserve"> (</w:t>
      </w:r>
      <w:r w:rsidR="002B3219">
        <w:rPr>
          <w:rFonts w:ascii="David" w:hAnsi="David" w:cs="David" w:hint="cs"/>
          <w:spacing w:val="6"/>
          <w:sz w:val="24"/>
          <w:szCs w:val="24"/>
          <w:rtl/>
        </w:rPr>
        <w:t xml:space="preserve">שם, </w:t>
      </w:r>
      <w:r>
        <w:rPr>
          <w:rFonts w:ascii="David" w:hAnsi="David" w:cs="David"/>
          <w:spacing w:val="6"/>
          <w:sz w:val="24"/>
          <w:szCs w:val="24"/>
          <w:rtl/>
        </w:rPr>
        <w:t>סעיף 59).</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1C0A15">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הנה כי כן, </w:t>
      </w:r>
      <w:r>
        <w:rPr>
          <w:rFonts w:ascii="David" w:hAnsi="David" w:cs="David"/>
          <w:b/>
          <w:bCs/>
          <w:spacing w:val="6"/>
          <w:sz w:val="24"/>
          <w:szCs w:val="24"/>
          <w:rtl/>
        </w:rPr>
        <w:t>אין בתביעת הגירושין כל עתירה לפיצוי כספי בגין הנזקים שנגרמו לתובעת מפאת סירובו של הנתבע לתת לה את גטה</w:t>
      </w:r>
      <w:r>
        <w:rPr>
          <w:rFonts w:ascii="David" w:hAnsi="David" w:cs="David"/>
          <w:spacing w:val="6"/>
          <w:sz w:val="24"/>
          <w:szCs w:val="24"/>
          <w:rtl/>
        </w:rPr>
        <w:t>, כנעתר ב</w:t>
      </w:r>
      <w:r w:rsidR="001C0A15">
        <w:rPr>
          <w:rFonts w:ascii="David" w:hAnsi="David" w:cs="David" w:hint="cs"/>
          <w:spacing w:val="6"/>
          <w:sz w:val="24"/>
          <w:szCs w:val="24"/>
          <w:rtl/>
        </w:rPr>
        <w:t xml:space="preserve">תביעה שבפניי. </w:t>
      </w:r>
    </w:p>
    <w:p w:rsidR="00A76863" w:rsidRDefault="00A76863" w:rsidP="00A76863">
      <w:pPr>
        <w:pStyle w:val="ad"/>
        <w:spacing w:after="0" w:line="306" w:lineRule="exact"/>
        <w:ind w:left="509"/>
        <w:jc w:val="both"/>
        <w:rPr>
          <w:rFonts w:cs="FrankRuehl"/>
          <w:spacing w:val="6"/>
          <w:sz w:val="24"/>
          <w:szCs w:val="24"/>
          <w:rtl/>
        </w:rPr>
      </w:pPr>
    </w:p>
    <w:p w:rsidR="00A76863" w:rsidRDefault="00A76863" w:rsidP="001C0A15">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למותר לציין כי שאלת זכאות האישה ב'עיקר כתובה' ו'בתוספת כתובה', כנעתר במסגרת תביעת הגירושין, היא </w:t>
      </w:r>
      <w:r>
        <w:rPr>
          <w:rFonts w:ascii="David" w:hAnsi="David" w:cs="David"/>
          <w:b/>
          <w:bCs/>
          <w:spacing w:val="6"/>
          <w:sz w:val="24"/>
          <w:szCs w:val="24"/>
          <w:rtl/>
        </w:rPr>
        <w:t>שאלה הלכתית הנידונה על פי המשפט העברי והסמכות הייחודית לדון בה מוקנית לבית הדין הרבני</w:t>
      </w:r>
      <w:r>
        <w:rPr>
          <w:rFonts w:ascii="David" w:hAnsi="David" w:cs="David"/>
          <w:spacing w:val="6"/>
          <w:sz w:val="24"/>
          <w:szCs w:val="24"/>
          <w:rtl/>
        </w:rPr>
        <w:t xml:space="preserve"> על פי </w:t>
      </w:r>
      <w:r>
        <w:rPr>
          <w:rFonts w:ascii="Miriam" w:hAnsi="Miriam" w:cs="Miriam"/>
          <w:spacing w:val="6"/>
          <w:sz w:val="24"/>
          <w:szCs w:val="24"/>
          <w:rtl/>
        </w:rPr>
        <w:t>חוק שיפוט בענייני נישואין וגירושין (נישואין וגרושין)</w:t>
      </w:r>
      <w:r w:rsidR="001C0A15">
        <w:rPr>
          <w:rFonts w:ascii="Miriam" w:hAnsi="Miriam" w:cs="Miriam" w:hint="cs"/>
          <w:spacing w:val="6"/>
          <w:sz w:val="24"/>
          <w:szCs w:val="24"/>
          <w:rtl/>
        </w:rPr>
        <w:t>,</w:t>
      </w:r>
      <w:r>
        <w:rPr>
          <w:rFonts w:ascii="Miriam" w:hAnsi="Miriam" w:cs="Miriam"/>
          <w:spacing w:val="6"/>
          <w:sz w:val="24"/>
          <w:szCs w:val="24"/>
          <w:rtl/>
        </w:rPr>
        <w:t xml:space="preserve"> התשי"ג-1953</w:t>
      </w:r>
      <w:r>
        <w:rPr>
          <w:rFonts w:ascii="David" w:hAnsi="David" w:cs="David"/>
          <w:spacing w:val="6"/>
          <w:sz w:val="24"/>
          <w:szCs w:val="24"/>
          <w:rtl/>
        </w:rPr>
        <w:t>.</w:t>
      </w:r>
      <w:r>
        <w:rPr>
          <w:spacing w:val="6"/>
          <w:sz w:val="24"/>
          <w:szCs w:val="24"/>
          <w:rtl/>
        </w:rPr>
        <w:t xml:space="preserve"> </w:t>
      </w:r>
      <w:r>
        <w:rPr>
          <w:rFonts w:ascii="David" w:hAnsi="David" w:cs="David"/>
          <w:spacing w:val="6"/>
          <w:sz w:val="24"/>
          <w:szCs w:val="24"/>
          <w:rtl/>
        </w:rPr>
        <w:t xml:space="preserve">לעומת זאת, הסעד לפיצויים הנעתר במסגרת </w:t>
      </w:r>
      <w:r w:rsidR="001C0A15">
        <w:rPr>
          <w:rFonts w:ascii="David" w:hAnsi="David" w:cs="David" w:hint="cs"/>
          <w:spacing w:val="6"/>
          <w:sz w:val="24"/>
          <w:szCs w:val="24"/>
          <w:rtl/>
        </w:rPr>
        <w:t>ה</w:t>
      </w:r>
      <w:r>
        <w:rPr>
          <w:rFonts w:ascii="David" w:hAnsi="David" w:cs="David"/>
          <w:spacing w:val="6"/>
          <w:sz w:val="24"/>
          <w:szCs w:val="24"/>
          <w:rtl/>
        </w:rPr>
        <w:t xml:space="preserve">תובענה </w:t>
      </w:r>
      <w:r w:rsidR="001C0A15">
        <w:rPr>
          <w:rFonts w:ascii="David" w:hAnsi="David" w:cs="David" w:hint="cs"/>
          <w:spacing w:val="6"/>
          <w:sz w:val="24"/>
          <w:szCs w:val="24"/>
          <w:rtl/>
        </w:rPr>
        <w:t xml:space="preserve">דנא </w:t>
      </w:r>
      <w:r>
        <w:rPr>
          <w:rFonts w:ascii="David" w:hAnsi="David" w:cs="David"/>
          <w:spacing w:val="6"/>
          <w:sz w:val="24"/>
          <w:szCs w:val="24"/>
          <w:rtl/>
        </w:rPr>
        <w:t xml:space="preserve"> מבוסס על עילות שאינן מהדין האישי, אלא על </w:t>
      </w:r>
      <w:r>
        <w:rPr>
          <w:rFonts w:ascii="David" w:hAnsi="David" w:cs="David"/>
          <w:b/>
          <w:bCs/>
          <w:spacing w:val="6"/>
          <w:sz w:val="24"/>
          <w:szCs w:val="24"/>
          <w:rtl/>
        </w:rPr>
        <w:t xml:space="preserve">עילות נזיקיות והוא בסמכות בית </w:t>
      </w:r>
      <w:r w:rsidR="001C0A15">
        <w:rPr>
          <w:rFonts w:ascii="David" w:hAnsi="David" w:cs="David" w:hint="cs"/>
          <w:b/>
          <w:bCs/>
          <w:spacing w:val="6"/>
          <w:sz w:val="24"/>
          <w:szCs w:val="24"/>
          <w:rtl/>
        </w:rPr>
        <w:t>ה</w:t>
      </w:r>
      <w:r>
        <w:rPr>
          <w:rFonts w:ascii="David" w:hAnsi="David" w:cs="David"/>
          <w:b/>
          <w:bCs/>
          <w:spacing w:val="6"/>
          <w:sz w:val="24"/>
          <w:szCs w:val="24"/>
          <w:rtl/>
        </w:rPr>
        <w:t>משפט</w:t>
      </w:r>
      <w:r>
        <w:rPr>
          <w:rFonts w:ascii="David" w:hAnsi="David" w:cs="David"/>
          <w:spacing w:val="6"/>
          <w:sz w:val="24"/>
          <w:szCs w:val="24"/>
          <w:rtl/>
        </w:rPr>
        <w:t xml:space="preserve">. </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A76863">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אף אם שתי התביעות כוללות מסכת עובדתית דומה וניסוחן דומה – העילה העומדת בבסיס כל אחת משתי התביעות – איננה זהה.</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לאור האמור לעיל, אני דוחה את הטענה לדחיית התובענה על הסף.</w:t>
      </w:r>
    </w:p>
    <w:p w:rsidR="00A76863" w:rsidRDefault="00A76863" w:rsidP="00A76863">
      <w:pPr>
        <w:pStyle w:val="ad"/>
        <w:spacing w:after="0" w:line="306" w:lineRule="exact"/>
        <w:ind w:left="509"/>
        <w:jc w:val="both"/>
        <w:rPr>
          <w:rFonts w:ascii="David" w:hAnsi="David" w:cs="David"/>
          <w:spacing w:val="6"/>
          <w:sz w:val="24"/>
          <w:szCs w:val="24"/>
          <w:rtl/>
        </w:rPr>
      </w:pPr>
    </w:p>
    <w:p w:rsidR="00580552" w:rsidRDefault="00580552" w:rsidP="00A76863">
      <w:pPr>
        <w:pStyle w:val="ad"/>
        <w:spacing w:after="0" w:line="306" w:lineRule="exact"/>
        <w:ind w:left="509"/>
        <w:jc w:val="both"/>
        <w:rPr>
          <w:rFonts w:ascii="David" w:hAnsi="David" w:cs="David"/>
          <w:spacing w:val="6"/>
          <w:sz w:val="24"/>
          <w:szCs w:val="24"/>
          <w:rtl/>
        </w:rPr>
      </w:pPr>
    </w:p>
    <w:p w:rsidR="00580552" w:rsidRDefault="00580552" w:rsidP="00A76863">
      <w:pPr>
        <w:pStyle w:val="ad"/>
        <w:spacing w:after="0" w:line="306" w:lineRule="exact"/>
        <w:ind w:left="509"/>
        <w:jc w:val="both"/>
        <w:rPr>
          <w:rFonts w:ascii="David" w:hAnsi="David" w:cs="David"/>
          <w:spacing w:val="6"/>
          <w:sz w:val="24"/>
          <w:szCs w:val="24"/>
          <w:rtl/>
        </w:rPr>
      </w:pPr>
    </w:p>
    <w:p w:rsidR="00580552" w:rsidRDefault="00580552" w:rsidP="00A76863">
      <w:pPr>
        <w:pStyle w:val="ad"/>
        <w:spacing w:after="0" w:line="306" w:lineRule="exact"/>
        <w:ind w:left="509"/>
        <w:jc w:val="both"/>
        <w:rPr>
          <w:rFonts w:ascii="David" w:hAnsi="David" w:cs="David"/>
          <w:spacing w:val="6"/>
          <w:sz w:val="24"/>
          <w:szCs w:val="24"/>
          <w:rtl/>
        </w:rPr>
      </w:pPr>
    </w:p>
    <w:p w:rsidR="00A76863" w:rsidRDefault="00A76863" w:rsidP="00A76863">
      <w:pPr>
        <w:pStyle w:val="Style1"/>
        <w:numPr>
          <w:ilvl w:val="0"/>
          <w:numId w:val="0"/>
        </w:numPr>
        <w:spacing w:after="0" w:line="306" w:lineRule="exact"/>
        <w:ind w:left="84"/>
        <w:rPr>
          <w:b/>
          <w:bCs/>
          <w:spacing w:val="6"/>
          <w:u w:val="thick"/>
          <w:rtl/>
        </w:rPr>
      </w:pPr>
      <w:r>
        <w:rPr>
          <w:rFonts w:hint="cs"/>
          <w:b/>
          <w:bCs/>
          <w:spacing w:val="6"/>
          <w:u w:val="thick"/>
          <w:rtl/>
        </w:rPr>
        <w:lastRenderedPageBreak/>
        <w:t>המתווה המשפטי</w:t>
      </w:r>
    </w:p>
    <w:p w:rsidR="00A76863" w:rsidRDefault="00A76863" w:rsidP="00A76863">
      <w:pPr>
        <w:spacing w:line="306" w:lineRule="exact"/>
        <w:ind w:left="149"/>
        <w:jc w:val="both"/>
        <w:rPr>
          <w:b/>
          <w:bCs/>
          <w:spacing w:val="6"/>
          <w:u w:val="single"/>
        </w:rPr>
      </w:pPr>
    </w:p>
    <w:p w:rsidR="00A76863" w:rsidRDefault="00A76863" w:rsidP="001C0A15">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העילות שבגינן מבקשת התובעת פיצוי כספי הן פגיעה באוטונומיה שלה ובחירותה, פגיעה נפשית ופגיעה ביכולתה למימוש עצמי. התובעת משתיתה את תביעתה על בסיס מספר עוולות שבדין: </w:t>
      </w:r>
      <w:r>
        <w:rPr>
          <w:rFonts w:cs="David"/>
          <w:spacing w:val="6"/>
          <w:sz w:val="24"/>
          <w:szCs w:val="24"/>
          <w:u w:val="single"/>
          <w:rtl/>
        </w:rPr>
        <w:t>הפרת התחייבות חוזית</w:t>
      </w:r>
      <w:r>
        <w:rPr>
          <w:rFonts w:cs="David"/>
          <w:spacing w:val="6"/>
          <w:sz w:val="24"/>
          <w:szCs w:val="24"/>
          <w:rtl/>
        </w:rPr>
        <w:t xml:space="preserve">; </w:t>
      </w:r>
      <w:r>
        <w:rPr>
          <w:rFonts w:cs="David"/>
          <w:spacing w:val="6"/>
          <w:sz w:val="24"/>
          <w:szCs w:val="24"/>
          <w:u w:val="single"/>
          <w:rtl/>
        </w:rPr>
        <w:t>הפרת חובה חקוקה</w:t>
      </w:r>
      <w:r>
        <w:rPr>
          <w:rFonts w:cs="David"/>
          <w:spacing w:val="6"/>
          <w:sz w:val="24"/>
          <w:szCs w:val="24"/>
          <w:rtl/>
        </w:rPr>
        <w:t xml:space="preserve">; </w:t>
      </w:r>
      <w:r>
        <w:rPr>
          <w:rFonts w:ascii="David" w:hAnsi="David" w:cs="David"/>
          <w:b/>
          <w:spacing w:val="6"/>
          <w:sz w:val="24"/>
          <w:szCs w:val="24"/>
          <w:rtl/>
        </w:rPr>
        <w:t>ו</w:t>
      </w:r>
      <w:r>
        <w:rPr>
          <w:rFonts w:cs="David"/>
          <w:spacing w:val="6"/>
          <w:sz w:val="24"/>
          <w:szCs w:val="24"/>
          <w:u w:val="single"/>
          <w:rtl/>
        </w:rPr>
        <w:t>עוולת הרשלנות</w:t>
      </w:r>
      <w:r>
        <w:rPr>
          <w:rFonts w:cs="David"/>
          <w:spacing w:val="6"/>
          <w:sz w:val="24"/>
          <w:szCs w:val="24"/>
          <w:rtl/>
        </w:rPr>
        <w:t>.</w:t>
      </w:r>
    </w:p>
    <w:p w:rsidR="00580552" w:rsidRDefault="00580552" w:rsidP="00A76863">
      <w:pPr>
        <w:pStyle w:val="Style1"/>
        <w:numPr>
          <w:ilvl w:val="0"/>
          <w:numId w:val="0"/>
        </w:numPr>
        <w:spacing w:after="0" w:line="306" w:lineRule="exact"/>
        <w:ind w:left="84"/>
        <w:rPr>
          <w:b/>
          <w:bCs/>
          <w:spacing w:val="6"/>
          <w:u w:val="thick"/>
          <w:rtl/>
        </w:rPr>
      </w:pPr>
    </w:p>
    <w:p w:rsidR="00A76863" w:rsidRDefault="00A76863" w:rsidP="00A76863">
      <w:pPr>
        <w:pStyle w:val="Style1"/>
        <w:numPr>
          <w:ilvl w:val="0"/>
          <w:numId w:val="0"/>
        </w:numPr>
        <w:spacing w:after="0" w:line="306" w:lineRule="exact"/>
        <w:ind w:left="84"/>
        <w:rPr>
          <w:b/>
          <w:bCs/>
          <w:spacing w:val="6"/>
          <w:u w:val="thick"/>
        </w:rPr>
      </w:pPr>
      <w:r>
        <w:rPr>
          <w:rFonts w:hint="cs"/>
          <w:b/>
          <w:bCs/>
          <w:spacing w:val="6"/>
          <w:u w:val="thick"/>
          <w:rtl/>
        </w:rPr>
        <w:t>הפרת התחייבות חוזית</w:t>
      </w:r>
    </w:p>
    <w:p w:rsidR="00A76863" w:rsidRDefault="00A76863" w:rsidP="00A76863">
      <w:pPr>
        <w:spacing w:line="306" w:lineRule="exact"/>
        <w:ind w:left="149"/>
        <w:jc w:val="both"/>
        <w:rPr>
          <w:spacing w:val="6"/>
          <w:rtl/>
        </w:rPr>
      </w:pPr>
    </w:p>
    <w:p w:rsidR="00A76863" w:rsidRDefault="00A76863" w:rsidP="001C0A15">
      <w:pPr>
        <w:pStyle w:val="ad"/>
        <w:numPr>
          <w:ilvl w:val="0"/>
          <w:numId w:val="2"/>
        </w:numPr>
        <w:spacing w:after="0" w:line="306" w:lineRule="exact"/>
        <w:ind w:left="509"/>
        <w:jc w:val="both"/>
        <w:rPr>
          <w:rFonts w:cs="David"/>
          <w:spacing w:val="6"/>
          <w:sz w:val="24"/>
          <w:szCs w:val="24"/>
        </w:rPr>
      </w:pPr>
      <w:r>
        <w:rPr>
          <w:rFonts w:cs="David"/>
          <w:spacing w:val="6"/>
          <w:sz w:val="24"/>
          <w:szCs w:val="24"/>
          <w:rtl/>
        </w:rPr>
        <w:t>כאמור, הצדדים חתמו על הסכם ביום 11.7.2019</w:t>
      </w:r>
      <w:r w:rsidR="001C0A15">
        <w:rPr>
          <w:rFonts w:cs="David" w:hint="cs"/>
          <w:spacing w:val="6"/>
          <w:sz w:val="24"/>
          <w:szCs w:val="24"/>
          <w:rtl/>
        </w:rPr>
        <w:t xml:space="preserve"> (ת/א')</w:t>
      </w:r>
      <w:r>
        <w:rPr>
          <w:rFonts w:cs="David"/>
          <w:spacing w:val="6"/>
          <w:sz w:val="24"/>
          <w:szCs w:val="24"/>
          <w:rtl/>
        </w:rPr>
        <w:t>, במסגרתו התחייבו להגיש בתוך 7 ימים בקשה משותפת לבית הדין לקבלת פסק דין לגירושין וסידור הגט, תוך ההתחייבות הדדית מפורשת, כי "</w:t>
      </w:r>
      <w:r>
        <w:rPr>
          <w:rFonts w:ascii="Miriam" w:hAnsi="Miriam" w:cs="Miriam"/>
          <w:spacing w:val="6"/>
          <w:sz w:val="24"/>
          <w:szCs w:val="24"/>
          <w:rtl/>
        </w:rPr>
        <w:t>הבעל ייתן גט והאישה תקבל את הגט</w:t>
      </w:r>
      <w:r>
        <w:rPr>
          <w:rFonts w:cs="David"/>
          <w:spacing w:val="6"/>
          <w:sz w:val="24"/>
          <w:szCs w:val="24"/>
          <w:rtl/>
        </w:rPr>
        <w:t>" (</w:t>
      </w:r>
      <w:r w:rsidR="001C0A15">
        <w:rPr>
          <w:rFonts w:cs="David" w:hint="cs"/>
          <w:spacing w:val="6"/>
          <w:sz w:val="24"/>
          <w:szCs w:val="24"/>
          <w:rtl/>
        </w:rPr>
        <w:t xml:space="preserve">שם, </w:t>
      </w:r>
      <w:r>
        <w:rPr>
          <w:rFonts w:cs="David"/>
          <w:spacing w:val="6"/>
          <w:sz w:val="24"/>
          <w:szCs w:val="24"/>
          <w:rtl/>
        </w:rPr>
        <w:t>סעיף 1).</w:t>
      </w:r>
    </w:p>
    <w:p w:rsidR="00A348DB" w:rsidRPr="00A348DB" w:rsidRDefault="00A348DB" w:rsidP="00A348DB">
      <w:pPr>
        <w:rPr>
          <w:spacing w:val="6"/>
          <w:rtl/>
        </w:rPr>
      </w:pPr>
    </w:p>
    <w:p w:rsidR="00A76863" w:rsidRDefault="00A76863" w:rsidP="001C0A15">
      <w:pPr>
        <w:pStyle w:val="ad"/>
        <w:numPr>
          <w:ilvl w:val="0"/>
          <w:numId w:val="2"/>
        </w:numPr>
        <w:spacing w:after="0" w:line="306" w:lineRule="exact"/>
        <w:ind w:left="509"/>
        <w:jc w:val="both"/>
        <w:rPr>
          <w:rFonts w:cs="David"/>
          <w:spacing w:val="6"/>
          <w:sz w:val="24"/>
          <w:szCs w:val="24"/>
        </w:rPr>
      </w:pPr>
      <w:r>
        <w:rPr>
          <w:rFonts w:cs="David"/>
          <w:spacing w:val="6"/>
          <w:sz w:val="24"/>
          <w:szCs w:val="24"/>
          <w:rtl/>
        </w:rPr>
        <w:t xml:space="preserve">בהתאם לכך, ביום 16.7.2019 הגישה התובעת לבית הדין תביעת גירושין משותפת (ת/ב'), ודיון בה נקבע ליום 18.8.2019; אלא שהנתבע עתר מלפני בית הדין לבטל את הדיון הנ"ל, תוך שהודיע כי הוא חזר בו מהסכמתו להתגרש, והוא מבקש שלום בית ועל כן אין בכוונתו להתייצב לדיון שנקבע (ת/ג'); לנוכח הודעה זו של הנתבע, ביטל בית הדין הרבני את הדיון שהיה קבוע בעניינם של הצדדים (ת/ד'). </w:t>
      </w:r>
    </w:p>
    <w:p w:rsidR="00A76863" w:rsidRDefault="00A76863" w:rsidP="00A76863">
      <w:pPr>
        <w:pStyle w:val="ad"/>
        <w:spacing w:after="0" w:line="306" w:lineRule="exact"/>
        <w:rPr>
          <w:rFonts w:cs="David"/>
          <w:spacing w:val="6"/>
          <w:sz w:val="24"/>
          <w:szCs w:val="24"/>
        </w:rPr>
      </w:pPr>
    </w:p>
    <w:p w:rsidR="00A76863" w:rsidRDefault="00A76863" w:rsidP="001C0A15">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בהמשך, ביום 14.7.2020, הגישה התובעת לבית הדין תביעת גירושין (נ/ה'); </w:t>
      </w:r>
      <w:r w:rsidR="001C0A15">
        <w:rPr>
          <w:rFonts w:cs="David" w:hint="cs"/>
          <w:spacing w:val="6"/>
          <w:sz w:val="24"/>
          <w:szCs w:val="24"/>
          <w:rtl/>
        </w:rPr>
        <w:t xml:space="preserve">ביום 23.12.2020, </w:t>
      </w:r>
      <w:r>
        <w:rPr>
          <w:rFonts w:cs="David"/>
          <w:spacing w:val="6"/>
          <w:sz w:val="24"/>
          <w:szCs w:val="24"/>
          <w:rtl/>
        </w:rPr>
        <w:t xml:space="preserve">לאחר דחיות מועד הדיון על רקע משבר הקורונה (נ/ו'; נ/ז'), התקיים בבית הדין דיון במעמד הצדדים, במהלכו עמד הנתבע על סירובו ליתן לתובעת גט, ועמד על קיום דיון הוכחות בשאלת החיוב </w:t>
      </w:r>
      <w:r w:rsidR="001C0A15">
        <w:rPr>
          <w:rFonts w:cs="David" w:hint="cs"/>
          <w:spacing w:val="6"/>
          <w:sz w:val="24"/>
          <w:szCs w:val="24"/>
          <w:rtl/>
        </w:rPr>
        <w:t xml:space="preserve">ליתן </w:t>
      </w:r>
      <w:r>
        <w:rPr>
          <w:rFonts w:cs="David"/>
          <w:spacing w:val="6"/>
          <w:sz w:val="24"/>
          <w:szCs w:val="24"/>
          <w:rtl/>
        </w:rPr>
        <w:t>גט.</w:t>
      </w:r>
    </w:p>
    <w:p w:rsidR="00A76863" w:rsidRDefault="00A76863" w:rsidP="00A76863">
      <w:pPr>
        <w:pStyle w:val="ad"/>
        <w:spacing w:after="0" w:line="306" w:lineRule="exact"/>
        <w:rPr>
          <w:rFonts w:cs="David"/>
          <w:spacing w:val="6"/>
          <w:sz w:val="24"/>
          <w:szCs w:val="24"/>
        </w:rPr>
      </w:pPr>
    </w:p>
    <w:p w:rsidR="00A76863" w:rsidRDefault="00A76863" w:rsidP="00A4448E">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בסופו של </w:t>
      </w:r>
      <w:r w:rsidR="001C0A15">
        <w:rPr>
          <w:rFonts w:cs="David" w:hint="cs"/>
          <w:spacing w:val="6"/>
          <w:sz w:val="24"/>
          <w:szCs w:val="24"/>
          <w:rtl/>
        </w:rPr>
        <w:t>דבר</w:t>
      </w:r>
      <w:r>
        <w:rPr>
          <w:rFonts w:cs="David"/>
          <w:spacing w:val="6"/>
          <w:sz w:val="24"/>
          <w:szCs w:val="24"/>
          <w:rtl/>
        </w:rPr>
        <w:t>, רק ביום 20.4.2021 נאות הנתבע ליתן גט פ</w:t>
      </w:r>
      <w:r w:rsidR="00A4448E">
        <w:rPr>
          <w:rFonts w:cs="David" w:hint="cs"/>
          <w:spacing w:val="6"/>
          <w:sz w:val="24"/>
          <w:szCs w:val="24"/>
          <w:rtl/>
        </w:rPr>
        <w:t>י</w:t>
      </w:r>
      <w:r>
        <w:rPr>
          <w:rFonts w:cs="David"/>
          <w:spacing w:val="6"/>
          <w:sz w:val="24"/>
          <w:szCs w:val="24"/>
          <w:rtl/>
        </w:rPr>
        <w:t xml:space="preserve">טורין לתובעת (נ/א'), ובו ביום סודר הגט (ת/י'). </w:t>
      </w:r>
    </w:p>
    <w:p w:rsidR="00A76863" w:rsidRDefault="00A76863" w:rsidP="00A76863">
      <w:pPr>
        <w:pStyle w:val="ad"/>
        <w:spacing w:after="0" w:line="306" w:lineRule="exact"/>
        <w:rPr>
          <w:rFonts w:cs="David"/>
          <w:spacing w:val="6"/>
          <w:sz w:val="24"/>
          <w:szCs w:val="24"/>
        </w:rPr>
      </w:pPr>
    </w:p>
    <w:p w:rsidR="00A76863" w:rsidRDefault="00A76863" w:rsidP="00A76863">
      <w:pPr>
        <w:pStyle w:val="ad"/>
        <w:numPr>
          <w:ilvl w:val="0"/>
          <w:numId w:val="2"/>
        </w:numPr>
        <w:tabs>
          <w:tab w:val="left" w:pos="5045"/>
        </w:tabs>
        <w:spacing w:after="0" w:line="306" w:lineRule="exact"/>
        <w:ind w:left="509"/>
        <w:jc w:val="both"/>
        <w:rPr>
          <w:rFonts w:cs="David"/>
          <w:spacing w:val="6"/>
          <w:sz w:val="24"/>
          <w:szCs w:val="24"/>
          <w:rtl/>
        </w:rPr>
      </w:pPr>
      <w:r>
        <w:rPr>
          <w:rFonts w:cs="David"/>
          <w:spacing w:val="6"/>
          <w:sz w:val="24"/>
          <w:szCs w:val="24"/>
          <w:rtl/>
        </w:rPr>
        <w:t>הנה כי כן, מאז התחייבותו של הנתבע ליתן גט, כאמור בסעיף 1 להסכם, ועד ל</w:t>
      </w:r>
      <w:r w:rsidR="00A4448E">
        <w:rPr>
          <w:rFonts w:cs="David" w:hint="cs"/>
          <w:spacing w:val="6"/>
          <w:sz w:val="24"/>
          <w:szCs w:val="24"/>
          <w:rtl/>
        </w:rPr>
        <w:t xml:space="preserve">מועד </w:t>
      </w:r>
      <w:r>
        <w:rPr>
          <w:rFonts w:cs="David"/>
          <w:spacing w:val="6"/>
          <w:sz w:val="24"/>
          <w:szCs w:val="24"/>
          <w:rtl/>
        </w:rPr>
        <w:t xml:space="preserve">סידור הגט </w:t>
      </w:r>
      <w:r w:rsidR="00A4448E">
        <w:rPr>
          <w:rFonts w:cs="David" w:hint="cs"/>
          <w:spacing w:val="6"/>
          <w:sz w:val="24"/>
          <w:szCs w:val="24"/>
          <w:rtl/>
        </w:rPr>
        <w:t xml:space="preserve">בפועל </w:t>
      </w:r>
      <w:r>
        <w:rPr>
          <w:rFonts w:cs="David"/>
          <w:spacing w:val="6"/>
          <w:sz w:val="24"/>
          <w:szCs w:val="24"/>
          <w:rtl/>
        </w:rPr>
        <w:t>חלפו כ-21 חודשים.</w:t>
      </w:r>
    </w:p>
    <w:p w:rsidR="00A76863" w:rsidRDefault="00A76863" w:rsidP="00A76863">
      <w:pPr>
        <w:pStyle w:val="ad"/>
        <w:spacing w:after="0" w:line="306" w:lineRule="exact"/>
        <w:rPr>
          <w:rFonts w:cs="David"/>
          <w:spacing w:val="6"/>
          <w:sz w:val="24"/>
          <w:szCs w:val="24"/>
        </w:rPr>
      </w:pPr>
    </w:p>
    <w:p w:rsidR="00A76863" w:rsidRDefault="00A76863" w:rsidP="00A4448E">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לטענת התובעת, סירובו המתמשך של הנתבע לעמוד בהתחייבותו ל</w:t>
      </w:r>
      <w:r w:rsidR="00A4448E">
        <w:rPr>
          <w:rFonts w:cs="David" w:hint="cs"/>
          <w:spacing w:val="6"/>
          <w:sz w:val="24"/>
          <w:szCs w:val="24"/>
          <w:rtl/>
        </w:rPr>
        <w:t>י</w:t>
      </w:r>
      <w:r>
        <w:rPr>
          <w:rFonts w:cs="David"/>
          <w:spacing w:val="6"/>
          <w:sz w:val="24"/>
          <w:szCs w:val="24"/>
          <w:rtl/>
        </w:rPr>
        <w:t xml:space="preserve">תן גט מהווה </w:t>
      </w:r>
      <w:r>
        <w:rPr>
          <w:rFonts w:cs="David"/>
          <w:b/>
          <w:bCs/>
          <w:spacing w:val="6"/>
          <w:sz w:val="24"/>
          <w:szCs w:val="24"/>
          <w:rtl/>
        </w:rPr>
        <w:t>הפרה יסודית של ההסכם</w:t>
      </w:r>
      <w:r>
        <w:rPr>
          <w:rFonts w:cs="David"/>
          <w:spacing w:val="6"/>
          <w:sz w:val="24"/>
          <w:szCs w:val="24"/>
          <w:rtl/>
        </w:rPr>
        <w:t xml:space="preserve">; לחלופין, התנהגותו של הנתבע אינה עולה בקנה אחד עם חובתו לבצע </w:t>
      </w:r>
      <w:r>
        <w:rPr>
          <w:rFonts w:cs="David"/>
          <w:b/>
          <w:bCs/>
          <w:spacing w:val="6"/>
          <w:sz w:val="24"/>
          <w:szCs w:val="24"/>
          <w:rtl/>
        </w:rPr>
        <w:t>בתום לב</w:t>
      </w:r>
      <w:r>
        <w:rPr>
          <w:rFonts w:cs="David"/>
          <w:spacing w:val="6"/>
          <w:sz w:val="24"/>
          <w:szCs w:val="24"/>
          <w:rtl/>
        </w:rPr>
        <w:t xml:space="preserve"> את התחייבותו החוזית כלפי התובעת.</w:t>
      </w:r>
    </w:p>
    <w:p w:rsidR="00A76863" w:rsidRDefault="00A76863" w:rsidP="00A76863">
      <w:pPr>
        <w:pStyle w:val="ad"/>
        <w:spacing w:after="0" w:line="306" w:lineRule="exact"/>
        <w:rPr>
          <w:rFonts w:cs="David"/>
          <w:spacing w:val="6"/>
          <w:sz w:val="24"/>
          <w:szCs w:val="24"/>
        </w:rPr>
      </w:pPr>
    </w:p>
    <w:p w:rsidR="00A76863" w:rsidRDefault="00A76863" w:rsidP="00A4448E">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לטענת הנתבע, </w:t>
      </w:r>
      <w:r>
        <w:rPr>
          <w:rFonts w:cs="David"/>
          <w:b/>
          <w:bCs/>
          <w:spacing w:val="6"/>
          <w:sz w:val="24"/>
          <w:szCs w:val="24"/>
          <w:rtl/>
        </w:rPr>
        <w:t>אין המדובר בהסכם גירושין</w:t>
      </w:r>
      <w:r>
        <w:rPr>
          <w:rFonts w:cs="David"/>
          <w:spacing w:val="6"/>
          <w:sz w:val="24"/>
          <w:szCs w:val="24"/>
          <w:rtl/>
        </w:rPr>
        <w:t xml:space="preserve"> כנטען על ידי התובעת, אלא בפסק דין חלקי בעניין התביעה הרכושית בלבד, בעוד תיק המזונות ותיק המשמורת הסתיי</w:t>
      </w:r>
      <w:r w:rsidR="00A4448E">
        <w:rPr>
          <w:rFonts w:cs="David" w:hint="cs"/>
          <w:spacing w:val="6"/>
          <w:sz w:val="24"/>
          <w:szCs w:val="24"/>
          <w:rtl/>
        </w:rPr>
        <w:t>מו</w:t>
      </w:r>
      <w:r>
        <w:rPr>
          <w:rFonts w:cs="David"/>
          <w:spacing w:val="6"/>
          <w:sz w:val="24"/>
          <w:szCs w:val="24"/>
          <w:rtl/>
        </w:rPr>
        <w:t xml:space="preserve"> בהסכמה ביום 18.2.2021.</w:t>
      </w:r>
    </w:p>
    <w:p w:rsidR="00A76863" w:rsidRDefault="00A76863" w:rsidP="00A76863">
      <w:pPr>
        <w:pStyle w:val="ad"/>
        <w:spacing w:after="0" w:line="306" w:lineRule="exact"/>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עוד לטענת הנתבע, הוא </w:t>
      </w:r>
      <w:r>
        <w:rPr>
          <w:rFonts w:cs="David"/>
          <w:b/>
          <w:bCs/>
          <w:spacing w:val="6"/>
          <w:sz w:val="24"/>
          <w:szCs w:val="24"/>
          <w:rtl/>
        </w:rPr>
        <w:t>ממילא לא הפר כל התחייבות חוזית</w:t>
      </w:r>
      <w:r>
        <w:rPr>
          <w:rFonts w:cs="David"/>
          <w:spacing w:val="6"/>
          <w:sz w:val="24"/>
          <w:szCs w:val="24"/>
          <w:rtl/>
        </w:rPr>
        <w:t>, שעה שהלכה ולמעשה הצדדים התגרשו זמ"ז; העיכוב במתן הגט נבע בשל מגוריהם המשותפים של הצדדים תחת קורת גג אחת ולא בשל סירובו או הפרתו את התחייבויותיו על פי ההסכם.</w:t>
      </w:r>
    </w:p>
    <w:p w:rsidR="00A76863" w:rsidRDefault="00A76863" w:rsidP="00A76863">
      <w:pPr>
        <w:pStyle w:val="ad"/>
        <w:spacing w:after="0" w:line="306" w:lineRule="exact"/>
        <w:rPr>
          <w:rFonts w:cs="David"/>
          <w:spacing w:val="6"/>
          <w:sz w:val="24"/>
          <w:szCs w:val="24"/>
          <w:highlight w:val="yellow"/>
        </w:rPr>
      </w:pPr>
    </w:p>
    <w:p w:rsidR="00A76863" w:rsidRDefault="00A76863" w:rsidP="00A4448E">
      <w:pPr>
        <w:pStyle w:val="ad"/>
        <w:numPr>
          <w:ilvl w:val="0"/>
          <w:numId w:val="2"/>
        </w:numPr>
        <w:spacing w:after="0" w:line="306" w:lineRule="exact"/>
        <w:ind w:left="509"/>
        <w:jc w:val="both"/>
        <w:rPr>
          <w:rFonts w:cs="David"/>
          <w:spacing w:val="6"/>
          <w:sz w:val="24"/>
          <w:szCs w:val="24"/>
          <w:rtl/>
        </w:rPr>
      </w:pPr>
      <w:r>
        <w:rPr>
          <w:rFonts w:cs="David"/>
          <w:spacing w:val="6"/>
          <w:sz w:val="24"/>
          <w:szCs w:val="24"/>
          <w:rtl/>
        </w:rPr>
        <w:lastRenderedPageBreak/>
        <w:t>עיון בהסכם מיום 11.7.2019 מלמד כי מספר סוגיות הקשורות בנישואיו והגירושין של הצדדים הוסדרו במסגרתו, ובכלל זה: עניינים שקשורים לסידור הגט (ס' 1 להסכם); ענייני חלוקת הרכוש בין הצדדים (ס' 8-2 להסכם); פירוק השיתוף בדירת המגורים (ס' 12-9 להסכם); אפוטרופסות (ס' 13 להסכם); הורות משותפת (ס' 14 להסכם); ניתנו סמכויות לעו"ס לסדרי דין לקבוע חלוקת זמני שהות (ס' 15 להסכם); חלוקה של תשלום הוצאות החזרי הלוואת המשכנתא והוצאות אחזקת הבית (ס' 16 להסכם); נשיאה בהוצאות בריאות חריגות ובהוצאות חינוך של הקטינים (ס' 17 להסכם); כאשר הוסכם כי תביעת המזונות תישאר פתוחה בשלב זה, וכי ככל שלא יעלה בידי הצדדים להגיע להסכמות, התיק ייקבע להוכחות (ס' 18 להסכם).</w:t>
      </w:r>
    </w:p>
    <w:p w:rsidR="00A76863" w:rsidRDefault="00A76863" w:rsidP="00A76863">
      <w:pPr>
        <w:pStyle w:val="ad"/>
        <w:spacing w:after="0" w:line="306" w:lineRule="exact"/>
        <w:ind w:left="509"/>
        <w:jc w:val="both"/>
        <w:rPr>
          <w:rFonts w:cs="David"/>
          <w:spacing w:val="6"/>
          <w:sz w:val="24"/>
          <w:szCs w:val="24"/>
          <w:rtl/>
        </w:rPr>
      </w:pPr>
    </w:p>
    <w:p w:rsidR="00A76863" w:rsidRPr="00A4448E" w:rsidRDefault="00A76863" w:rsidP="00A76863">
      <w:pPr>
        <w:pStyle w:val="ad"/>
        <w:spacing w:after="0" w:line="306" w:lineRule="exact"/>
        <w:ind w:left="509"/>
        <w:jc w:val="both"/>
        <w:rPr>
          <w:rFonts w:ascii="David" w:hAnsi="David" w:cs="David"/>
          <w:spacing w:val="6"/>
          <w:sz w:val="24"/>
          <w:szCs w:val="24"/>
          <w:rtl/>
        </w:rPr>
      </w:pPr>
      <w:r>
        <w:rPr>
          <w:rFonts w:cs="David"/>
          <w:spacing w:val="6"/>
          <w:sz w:val="24"/>
          <w:szCs w:val="24"/>
          <w:rtl/>
        </w:rPr>
        <w:t>ההסכמות הנ"ל או</w:t>
      </w:r>
      <w:r w:rsidRPr="00A4448E">
        <w:rPr>
          <w:rFonts w:ascii="David" w:hAnsi="David" w:cs="David"/>
          <w:spacing w:val="6"/>
          <w:sz w:val="24"/>
          <w:szCs w:val="24"/>
          <w:rtl/>
        </w:rPr>
        <w:t>שרו על ידי בית המשפט, למעט הסעיפים המתייחסים לסידור הגט, לפי חוק יחסי ממון בין בני זוג, התשל"ג-1973, וניתנו לסעיפים שאושרו תוקף של פסק דין על פי חוק בתי המשפט לענייני משפחה, על פי חוק הכשרות המשפטית והאפוטרופסות, התשכ"ב-1962 ולפי חוק לתיקון דיני משפחה (מזונות), התשי"ט-1959.</w:t>
      </w:r>
    </w:p>
    <w:p w:rsidR="00A76863" w:rsidRDefault="00A76863" w:rsidP="00A76863">
      <w:pPr>
        <w:pStyle w:val="ad"/>
        <w:spacing w:after="0" w:line="306" w:lineRule="exact"/>
        <w:ind w:left="509"/>
        <w:jc w:val="both"/>
        <w:rPr>
          <w:rFonts w:ascii="Miriam" w:hAnsi="Miriam" w:cs="Miriam"/>
          <w:spacing w:val="6"/>
          <w:sz w:val="24"/>
          <w:szCs w:val="24"/>
          <w:rtl/>
        </w:rPr>
      </w:pPr>
    </w:p>
    <w:p w:rsidR="00A76863" w:rsidRDefault="00A76863" w:rsidP="00A4448E">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הנה כי כן, מדובר</w:t>
      </w:r>
      <w:r>
        <w:rPr>
          <w:rFonts w:cs="David"/>
          <w:b/>
          <w:bCs/>
          <w:spacing w:val="6"/>
          <w:sz w:val="24"/>
          <w:szCs w:val="24"/>
          <w:rtl/>
        </w:rPr>
        <w:t xml:space="preserve"> </w:t>
      </w:r>
      <w:r>
        <w:rPr>
          <w:rFonts w:cs="David"/>
          <w:spacing w:val="6"/>
          <w:sz w:val="24"/>
          <w:szCs w:val="24"/>
          <w:rtl/>
        </w:rPr>
        <w:t>בהסכמות המסדירות את</w:t>
      </w:r>
      <w:r>
        <w:rPr>
          <w:rFonts w:cs="David"/>
          <w:b/>
          <w:bCs/>
          <w:spacing w:val="6"/>
          <w:sz w:val="24"/>
          <w:szCs w:val="24"/>
          <w:rtl/>
        </w:rPr>
        <w:t xml:space="preserve"> מכלול העניינים הקשורים לנישואים ו</w:t>
      </w:r>
      <w:r w:rsidR="00A4448E">
        <w:rPr>
          <w:rFonts w:cs="David" w:hint="cs"/>
          <w:b/>
          <w:bCs/>
          <w:spacing w:val="6"/>
          <w:sz w:val="24"/>
          <w:szCs w:val="24"/>
          <w:rtl/>
        </w:rPr>
        <w:t>ה</w:t>
      </w:r>
      <w:r>
        <w:rPr>
          <w:rFonts w:cs="David"/>
          <w:b/>
          <w:bCs/>
          <w:spacing w:val="6"/>
          <w:sz w:val="24"/>
          <w:szCs w:val="24"/>
          <w:rtl/>
        </w:rPr>
        <w:t>גירושים של הצדדים</w:t>
      </w:r>
      <w:r>
        <w:rPr>
          <w:rFonts w:cs="David"/>
          <w:spacing w:val="6"/>
          <w:sz w:val="24"/>
          <w:szCs w:val="24"/>
          <w:rtl/>
        </w:rPr>
        <w:t xml:space="preserve"> ועל כן המדובר</w:t>
      </w:r>
      <w:r>
        <w:rPr>
          <w:rFonts w:cs="David"/>
          <w:b/>
          <w:bCs/>
          <w:spacing w:val="6"/>
          <w:sz w:val="24"/>
          <w:szCs w:val="24"/>
          <w:rtl/>
        </w:rPr>
        <w:t xml:space="preserve"> </w:t>
      </w:r>
      <w:r>
        <w:rPr>
          <w:rFonts w:cs="David"/>
          <w:b/>
          <w:bCs/>
          <w:spacing w:val="6"/>
          <w:sz w:val="24"/>
          <w:szCs w:val="24"/>
          <w:u w:val="single"/>
          <w:rtl/>
        </w:rPr>
        <w:t>בהסכם גירושין</w:t>
      </w:r>
      <w:r>
        <w:rPr>
          <w:rFonts w:cs="David"/>
          <w:b/>
          <w:bCs/>
          <w:spacing w:val="6"/>
          <w:sz w:val="24"/>
          <w:szCs w:val="24"/>
          <w:rtl/>
        </w:rPr>
        <w:t xml:space="preserve"> </w:t>
      </w:r>
      <w:r>
        <w:rPr>
          <w:rFonts w:cs="David"/>
          <w:spacing w:val="6"/>
          <w:sz w:val="24"/>
          <w:szCs w:val="24"/>
          <w:rtl/>
        </w:rPr>
        <w:t>לכל דבר ועניין ועל כל המשתמע מכך. העובדה שסוגיית מזונות הקטינים נותרה פתוחה אין בה כדי לאיין את אופי ומהות ההסכם או את התוקף המשפטי והמחייב שניתן להוראותיו.</w:t>
      </w:r>
    </w:p>
    <w:p w:rsidR="00A76863" w:rsidRDefault="00A76863" w:rsidP="00A76863">
      <w:pPr>
        <w:pStyle w:val="ad"/>
        <w:spacing w:after="0" w:line="306" w:lineRule="exact"/>
        <w:ind w:left="509"/>
        <w:jc w:val="both"/>
        <w:rPr>
          <w:rFonts w:cs="David"/>
          <w:spacing w:val="6"/>
          <w:sz w:val="24"/>
          <w:szCs w:val="24"/>
          <w:rtl/>
        </w:rPr>
      </w:pPr>
    </w:p>
    <w:p w:rsidR="00A76863" w:rsidRDefault="00A76863" w:rsidP="00A4448E">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לעניין הסעיף המתייחס לסידור הגט (סעיף 1 להסכם), מאליו ברור כי אין לבית משפט זה הסמכות לדון בנושא סידור </w:t>
      </w:r>
      <w:r w:rsidR="00A4448E">
        <w:rPr>
          <w:rFonts w:cs="David" w:hint="cs"/>
          <w:spacing w:val="6"/>
          <w:sz w:val="24"/>
          <w:szCs w:val="24"/>
          <w:rtl/>
        </w:rPr>
        <w:t>ה</w:t>
      </w:r>
      <w:r>
        <w:rPr>
          <w:rFonts w:cs="David"/>
          <w:spacing w:val="6"/>
          <w:sz w:val="24"/>
          <w:szCs w:val="24"/>
          <w:rtl/>
        </w:rPr>
        <w:t>גט או "אכיפת נישואין וגירושין" אשר ה</w:t>
      </w:r>
      <w:r w:rsidR="00A4448E">
        <w:rPr>
          <w:rFonts w:cs="David" w:hint="cs"/>
          <w:spacing w:val="6"/>
          <w:sz w:val="24"/>
          <w:szCs w:val="24"/>
          <w:rtl/>
        </w:rPr>
        <w:t>ינ</w:t>
      </w:r>
      <w:r>
        <w:rPr>
          <w:rFonts w:cs="David"/>
          <w:spacing w:val="6"/>
          <w:sz w:val="24"/>
          <w:szCs w:val="24"/>
          <w:rtl/>
        </w:rPr>
        <w:t xml:space="preserve">ם בסמכותו הייחודית של בית הדין הרבני; ועל כן סעיף זה לא אושר על ידי בית המשפט ולא ניתן לו תוקף של פסק דין; אולם, </w:t>
      </w:r>
      <w:r>
        <w:rPr>
          <w:rFonts w:cs="David"/>
          <w:b/>
          <w:bCs/>
          <w:spacing w:val="6"/>
          <w:sz w:val="24"/>
          <w:szCs w:val="24"/>
          <w:rtl/>
        </w:rPr>
        <w:t>אין בכך כדי לגרוע מתוקפו במערכת היחסים שבין הצדדים</w:t>
      </w:r>
      <w:r>
        <w:rPr>
          <w:rFonts w:cs="David"/>
          <w:spacing w:val="6"/>
          <w:sz w:val="24"/>
          <w:szCs w:val="24"/>
          <w:rtl/>
        </w:rPr>
        <w:t xml:space="preserve">. </w:t>
      </w:r>
    </w:p>
    <w:p w:rsidR="00A76863" w:rsidRDefault="00A76863" w:rsidP="00A76863">
      <w:pPr>
        <w:pStyle w:val="ad"/>
        <w:spacing w:after="0" w:line="306" w:lineRule="exact"/>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יתרה מכך, גם לולא קיומו של ההסכם וההתחייבות המפורשת בדבר התחייבות הצדדים לסידור הגט, נקבע בפסיקה כי במערכת היחסים בין בעל ואישה יש להחיל את הוראות חוק החוזים ובפרט את חובת תום הלב.</w:t>
      </w:r>
    </w:p>
    <w:p w:rsidR="00A76863" w:rsidRDefault="00A76863" w:rsidP="00A76863">
      <w:pPr>
        <w:pStyle w:val="ad"/>
        <w:spacing w:after="0" w:line="306" w:lineRule="exact"/>
        <w:rPr>
          <w:rFonts w:cs="David"/>
          <w:spacing w:val="6"/>
          <w:sz w:val="24"/>
          <w:szCs w:val="24"/>
        </w:rPr>
      </w:pPr>
    </w:p>
    <w:p w:rsidR="00A76863" w:rsidRDefault="00A76863" w:rsidP="00A76863">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לעניין זה נאמר ב</w:t>
      </w:r>
      <w:r>
        <w:rPr>
          <w:rFonts w:ascii="Miriam" w:hAnsi="Miriam" w:cs="Miriam"/>
          <w:spacing w:val="6"/>
          <w:sz w:val="24"/>
          <w:szCs w:val="24"/>
          <w:rtl/>
        </w:rPr>
        <w:t>תמ"ש (י-ם) 24760/08 ש. ב. ר. נ' ר. ר. (25.3.2010)</w:t>
      </w:r>
      <w:r>
        <w:rPr>
          <w:rFonts w:ascii="David" w:hAnsi="David" w:cs="David"/>
          <w:spacing w:val="6"/>
          <w:sz w:val="24"/>
          <w:szCs w:val="24"/>
          <w:rtl/>
        </w:rPr>
        <w:t xml:space="preserve"> כדלקמן:</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A348DB">
      <w:pPr>
        <w:pStyle w:val="1"/>
        <w:spacing w:after="0" w:line="306" w:lineRule="exact"/>
        <w:rPr>
          <w:rFonts w:ascii="David" w:hAnsi="David" w:cs="David"/>
          <w:spacing w:val="6"/>
          <w:szCs w:val="24"/>
          <w:rtl/>
        </w:rPr>
      </w:pPr>
      <w:r>
        <w:rPr>
          <w:rFonts w:ascii="David" w:hAnsi="David" w:cs="David"/>
          <w:spacing w:val="6"/>
          <w:szCs w:val="24"/>
          <w:rtl/>
        </w:rPr>
        <w:t>"</w:t>
      </w:r>
      <w:r>
        <w:rPr>
          <w:rFonts w:ascii="Miriam" w:hAnsi="Miriam" w:cs="Miriam"/>
          <w:spacing w:val="6"/>
          <w:szCs w:val="24"/>
          <w:rtl/>
        </w:rPr>
        <w:t>וכמודגש בפסק הדין בע"א 5258/98 'כאשר בני זוג מחליטים להתחתן הם מטילים על עצמם מערכת של זכויות וחובות, וזאת מתוך גמירות דעת המבוססת על מידע מלא ככל שניתן אודות ב</w:t>
      </w:r>
      <w:r w:rsidR="00A4448E">
        <w:rPr>
          <w:rFonts w:ascii="Miriam" w:hAnsi="Miriam" w:cs="Miriam" w:hint="cs"/>
          <w:spacing w:val="6"/>
          <w:szCs w:val="24"/>
          <w:rtl/>
        </w:rPr>
        <w:t>ן</w:t>
      </w:r>
      <w:r>
        <w:rPr>
          <w:rFonts w:ascii="Miriam" w:hAnsi="Miriam" w:cs="Miriam"/>
          <w:spacing w:val="6"/>
          <w:szCs w:val="24"/>
          <w:rtl/>
        </w:rPr>
        <w:t xml:space="preserve"> הזוג, אשר ניתן בתום לב'... בעשייתם פעולה משפטית האוצרת בחובה מערכת של חובות וזכויות, סוככת עליהם מטריית חובת תום הלב ופעולה בדרך מקובלת הקבועות בסעיף 61(ב) לחוק החוזים ( חלק כללי) סעיף 61 המורה: 'הוראת חוק זה יחולו, ככל שהדבר מתאים לעניין בשינויים המחוייבים, גם על פעולות משפטיות שאינן בבחינת חוזה ועל חיובים שאינם נובעים מחוזה'. כך או כך, הן אם נקודת המוצא הינה כי נישואין מהווים חוזה והן </w:t>
      </w:r>
      <w:r>
        <w:rPr>
          <w:rFonts w:ascii="Miriam" w:hAnsi="Miriam" w:cs="Miriam"/>
          <w:spacing w:val="6"/>
          <w:szCs w:val="24"/>
          <w:rtl/>
        </w:rPr>
        <w:lastRenderedPageBreak/>
        <w:t>אם נקודת המוצא היא כי נישואין הינם התחייבות אשר לוקח על עצמו הבעל, או גם האשה, מכל מקום תחול חובת תום הלב המכילה בחובה חובת גילוי כל מידע רלבנטי כל שכן חיוני, מכח סעיפים 12 או 61 לחוק החוזים (חלק כללי), זאת אף ביתר שאת נוכח כך שבין בעל ואשה יחסים מיוחדים, יחסי קרבה, יחסים רגישים, כאשר על כל אחד מבני הזוג מוטלת חובה לנהוג כלפי האחר בכבוד, בהגינות ובהתנהגות המאפשרת לב</w:t>
      </w:r>
      <w:r w:rsidR="00A348DB">
        <w:rPr>
          <w:rFonts w:ascii="Miriam" w:hAnsi="Miriam" w:cs="Miriam" w:hint="cs"/>
          <w:spacing w:val="6"/>
          <w:szCs w:val="24"/>
          <w:rtl/>
        </w:rPr>
        <w:t>ן</w:t>
      </w:r>
      <w:r>
        <w:rPr>
          <w:rFonts w:ascii="Miriam" w:hAnsi="Miriam" w:cs="Miriam"/>
          <w:spacing w:val="6"/>
          <w:szCs w:val="24"/>
          <w:rtl/>
        </w:rPr>
        <w:t xml:space="preserve"> הזוג ניהול של אורח חיים תקין וסביר...</w:t>
      </w:r>
      <w:r w:rsidR="00A348DB">
        <w:rPr>
          <w:rFonts w:ascii="Miriam" w:hAnsi="Miriam" w:cs="Miriam" w:hint="cs"/>
          <w:spacing w:val="6"/>
          <w:szCs w:val="24"/>
          <w:rtl/>
        </w:rPr>
        <w:t xml:space="preserve"> .</w:t>
      </w:r>
      <w:r>
        <w:rPr>
          <w:rFonts w:ascii="David" w:hAnsi="David" w:cs="David"/>
          <w:spacing w:val="6"/>
          <w:szCs w:val="24"/>
          <w:rtl/>
        </w:rPr>
        <w:t>".</w:t>
      </w:r>
    </w:p>
    <w:p w:rsidR="00A348DB" w:rsidRDefault="00A348DB" w:rsidP="00A76863">
      <w:pPr>
        <w:spacing w:line="306" w:lineRule="exact"/>
        <w:jc w:val="both"/>
        <w:rPr>
          <w:rFonts w:ascii="David" w:hAnsi="David"/>
          <w:spacing w:val="6"/>
          <w:rtl/>
        </w:rPr>
      </w:pPr>
    </w:p>
    <w:p w:rsidR="00A76863" w:rsidRDefault="00A76863" w:rsidP="00A76863">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עוד נקבע לעניין זה ב</w:t>
      </w:r>
      <w:r>
        <w:rPr>
          <w:rFonts w:ascii="Miriam" w:hAnsi="Miriam" w:cs="Miriam"/>
          <w:spacing w:val="6"/>
          <w:sz w:val="24"/>
          <w:szCs w:val="24"/>
          <w:rtl/>
        </w:rPr>
        <w:t>תמ"ש (י-ם) 44248-05-10 כ.ש. נ' כ.ש. (5.9.2011)</w:t>
      </w:r>
      <w:r>
        <w:rPr>
          <w:rFonts w:ascii="David" w:hAnsi="David" w:cs="David"/>
          <w:spacing w:val="6"/>
          <w:sz w:val="24"/>
          <w:szCs w:val="24"/>
          <w:rtl/>
        </w:rPr>
        <w:t>:</w:t>
      </w:r>
    </w:p>
    <w:p w:rsidR="00A76863" w:rsidRDefault="00A76863" w:rsidP="00A76863">
      <w:pPr>
        <w:spacing w:line="306" w:lineRule="exact"/>
        <w:jc w:val="both"/>
        <w:rPr>
          <w:rFonts w:ascii="David" w:hAnsi="David"/>
          <w:spacing w:val="6"/>
          <w:rtl/>
        </w:rPr>
      </w:pPr>
    </w:p>
    <w:p w:rsidR="00A76863" w:rsidRDefault="00A76863" w:rsidP="00A76863">
      <w:pPr>
        <w:pStyle w:val="1"/>
        <w:spacing w:after="0" w:line="306" w:lineRule="exact"/>
        <w:rPr>
          <w:rFonts w:ascii="Miriam" w:hAnsi="Miriam" w:cs="Miriam"/>
          <w:spacing w:val="6"/>
          <w:szCs w:val="24"/>
          <w:rtl/>
        </w:rPr>
      </w:pPr>
      <w:r>
        <w:rPr>
          <w:rFonts w:ascii="David" w:hAnsi="David" w:cs="David"/>
          <w:spacing w:val="6"/>
          <w:szCs w:val="24"/>
          <w:rtl/>
        </w:rPr>
        <w:t>"</w:t>
      </w:r>
      <w:r>
        <w:rPr>
          <w:rFonts w:ascii="Miriam" w:hAnsi="Miriam" w:cs="Miriam"/>
          <w:spacing w:val="6"/>
          <w:szCs w:val="24"/>
          <w:rtl/>
        </w:rPr>
        <w:t xml:space="preserve">...פסיקת בתי המשפט הכירה באפשרות לתבוע פיצויים מכח הפרת חובות חוזיות החלות במסגרת היחסים המשפחתיים. זאת היות וקשר הנישואין נתפס כחוזה בין צדדים... </w:t>
      </w:r>
    </w:p>
    <w:p w:rsidR="00A76863" w:rsidRDefault="00A76863" w:rsidP="00A76863">
      <w:pPr>
        <w:pStyle w:val="1"/>
        <w:spacing w:after="0" w:line="306" w:lineRule="exact"/>
        <w:rPr>
          <w:rFonts w:ascii="David" w:hAnsi="David" w:cs="David"/>
          <w:spacing w:val="6"/>
          <w:szCs w:val="24"/>
          <w:rtl/>
        </w:rPr>
      </w:pPr>
      <w:r>
        <w:rPr>
          <w:rFonts w:ascii="Miriam" w:hAnsi="Miriam" w:cs="Miriam"/>
          <w:spacing w:val="6"/>
          <w:szCs w:val="24"/>
          <w:rtl/>
        </w:rPr>
        <w:t>...יחסי הנישואין הם חוזה, או למצער פעולה משפטית שיש להחיל עליה את הוראות חוק החוזים ובפרט את חובת תום הלב. יוער, כי עיקרון תום הלב חל על כלל היחסים בין בני האדם... בני אדם וכל שכן בני זוג, מחויבים לנהוג זה כלפי זו (ולהיפך) בתום לב</w:t>
      </w:r>
      <w:r>
        <w:rPr>
          <w:rFonts w:ascii="David" w:hAnsi="David" w:cs="David"/>
          <w:spacing w:val="6"/>
          <w:szCs w:val="24"/>
          <w:rtl/>
        </w:rPr>
        <w:t>.</w:t>
      </w:r>
      <w:r w:rsidR="00A348DB">
        <w:rPr>
          <w:rFonts w:ascii="David" w:hAnsi="David" w:cs="David" w:hint="cs"/>
          <w:spacing w:val="6"/>
          <w:szCs w:val="24"/>
          <w:rtl/>
        </w:rPr>
        <w:t>.</w:t>
      </w:r>
      <w:r>
        <w:rPr>
          <w:rFonts w:ascii="David" w:hAnsi="David" w:cs="David"/>
          <w:spacing w:val="6"/>
          <w:szCs w:val="24"/>
          <w:rtl/>
        </w:rPr>
        <w:t>.</w:t>
      </w:r>
      <w:r w:rsidR="00A348DB">
        <w:rPr>
          <w:rFonts w:ascii="David" w:hAnsi="David" w:cs="David" w:hint="cs"/>
          <w:spacing w:val="6"/>
          <w:szCs w:val="24"/>
          <w:rtl/>
        </w:rPr>
        <w:t xml:space="preserve"> </w:t>
      </w:r>
      <w:r>
        <w:rPr>
          <w:rFonts w:ascii="David" w:hAnsi="David" w:cs="David"/>
          <w:spacing w:val="6"/>
          <w:szCs w:val="24"/>
          <w:rtl/>
        </w:rPr>
        <w:t>.".</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A348DB">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לאור כל האמור לעיל, אני קובעת, כי בין הצדדים קיימת הן התחייבות חוזית מפורשת מכח ההסכם עליו חתמו המסדיר את ביצוע הגט ביניהם</w:t>
      </w:r>
      <w:r w:rsidR="00A348DB">
        <w:rPr>
          <w:rFonts w:cs="David" w:hint="cs"/>
          <w:spacing w:val="6"/>
          <w:sz w:val="24"/>
          <w:szCs w:val="24"/>
          <w:rtl/>
        </w:rPr>
        <w:t>, ו</w:t>
      </w:r>
      <w:r w:rsidR="00A348DB">
        <w:rPr>
          <w:rFonts w:cs="David"/>
          <w:spacing w:val="6"/>
          <w:sz w:val="24"/>
          <w:szCs w:val="24"/>
          <w:rtl/>
        </w:rPr>
        <w:t>הן התחייבות חוזית מכללא הנלמדת מקשר הנישואין שלהם כאמור לעיל</w:t>
      </w:r>
      <w:r w:rsidR="00A348DB">
        <w:rPr>
          <w:rFonts w:cs="David" w:hint="cs"/>
          <w:spacing w:val="6"/>
          <w:sz w:val="24"/>
          <w:szCs w:val="24"/>
          <w:rtl/>
        </w:rPr>
        <w:t xml:space="preserve">. </w:t>
      </w:r>
    </w:p>
    <w:p w:rsidR="00A76863" w:rsidRDefault="00A76863" w:rsidP="00A76863">
      <w:pPr>
        <w:pStyle w:val="ad"/>
        <w:spacing w:after="0" w:line="306" w:lineRule="exact"/>
        <w:rPr>
          <w:rFonts w:cs="David"/>
          <w:spacing w:val="6"/>
          <w:sz w:val="24"/>
          <w:szCs w:val="24"/>
        </w:rPr>
      </w:pPr>
    </w:p>
    <w:p w:rsidR="00A76863" w:rsidRDefault="00A76863" w:rsidP="00A348DB">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מעיון בהודעת הנתבע לבית הדין (ת/ג'), לפיה הודיע מפורשות, כי הוא חוזר בו מהסכמתו ליתן גט והוא מבקש שלום בית, ברי כי מדובר בהפרה של ההסכמה הנ"ל. </w:t>
      </w:r>
    </w:p>
    <w:p w:rsidR="00A76863" w:rsidRDefault="00A76863" w:rsidP="00A76863">
      <w:pPr>
        <w:pStyle w:val="ad"/>
        <w:spacing w:after="0" w:line="306" w:lineRule="exact"/>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בפסיקה נקבע, כי חזרה מהסכמה להסדרת הגט מהווה הפרה יסודית של הסכם הגירושין.</w:t>
      </w:r>
    </w:p>
    <w:p w:rsidR="00A76863" w:rsidRDefault="00A76863" w:rsidP="00A76863">
      <w:pPr>
        <w:pStyle w:val="ad"/>
        <w:spacing w:after="0" w:line="306" w:lineRule="exact"/>
        <w:rPr>
          <w:rFonts w:ascii="Arial" w:hAnsi="Arial"/>
          <w:spacing w:val="6"/>
          <w:sz w:val="24"/>
          <w:szCs w:val="24"/>
        </w:rPr>
      </w:pPr>
    </w:p>
    <w:p w:rsidR="00A76863" w:rsidRDefault="00A76863" w:rsidP="00A348DB">
      <w:pPr>
        <w:pStyle w:val="ad"/>
        <w:spacing w:after="0" w:line="306" w:lineRule="exact"/>
        <w:ind w:left="509"/>
        <w:jc w:val="both"/>
        <w:rPr>
          <w:rFonts w:ascii="Arial" w:hAnsi="Arial"/>
          <w:spacing w:val="6"/>
          <w:sz w:val="24"/>
          <w:szCs w:val="24"/>
          <w:rtl/>
        </w:rPr>
      </w:pPr>
      <w:r>
        <w:rPr>
          <w:rFonts w:cs="David"/>
          <w:spacing w:val="6"/>
          <w:sz w:val="24"/>
          <w:szCs w:val="24"/>
          <w:rtl/>
        </w:rPr>
        <w:t>וכך נקבע ב</w:t>
      </w:r>
      <w:r>
        <w:rPr>
          <w:rFonts w:ascii="Miriam" w:hAnsi="Miriam" w:cs="Miriam"/>
          <w:spacing w:val="6"/>
          <w:sz w:val="24"/>
          <w:szCs w:val="24"/>
          <w:rtl/>
        </w:rPr>
        <w:t>תמ"ש (נצ') 7450-09-13 מ.א נ' א.א (27.1.2014)</w:t>
      </w:r>
      <w:r>
        <w:rPr>
          <w:rFonts w:cs="David"/>
          <w:spacing w:val="6"/>
          <w:sz w:val="24"/>
          <w:szCs w:val="24"/>
          <w:rtl/>
        </w:rPr>
        <w:t xml:space="preserve"> בעניין דומה בו חזר הבעל מהתחייבותו ליתן גט:</w:t>
      </w:r>
    </w:p>
    <w:p w:rsidR="00A76863" w:rsidRDefault="00A76863" w:rsidP="00A76863">
      <w:pPr>
        <w:pStyle w:val="1"/>
        <w:spacing w:after="0" w:line="306" w:lineRule="exact"/>
        <w:rPr>
          <w:rFonts w:ascii="David" w:hAnsi="David" w:cs="David"/>
          <w:spacing w:val="6"/>
          <w:szCs w:val="24"/>
          <w:rtl/>
        </w:rPr>
      </w:pPr>
    </w:p>
    <w:p w:rsidR="00A76863" w:rsidRDefault="00A76863" w:rsidP="00A76863">
      <w:pPr>
        <w:pStyle w:val="1"/>
        <w:spacing w:after="0" w:line="306" w:lineRule="exact"/>
        <w:rPr>
          <w:rFonts w:ascii="Miriam" w:hAnsi="Miriam" w:cs="Miriam"/>
          <w:spacing w:val="6"/>
          <w:szCs w:val="24"/>
          <w:rtl/>
        </w:rPr>
      </w:pPr>
      <w:r>
        <w:rPr>
          <w:rFonts w:ascii="David" w:hAnsi="David" w:cs="David"/>
          <w:spacing w:val="6"/>
          <w:szCs w:val="24"/>
          <w:rtl/>
        </w:rPr>
        <w:t>"</w:t>
      </w:r>
      <w:r>
        <w:rPr>
          <w:rFonts w:ascii="Miriam" w:hAnsi="Miriam" w:cs="Miriam"/>
          <w:spacing w:val="6"/>
          <w:szCs w:val="24"/>
          <w:rtl/>
        </w:rPr>
        <w:t>38.</w:t>
      </w:r>
      <w:r>
        <w:rPr>
          <w:rFonts w:ascii="David" w:hAnsi="David" w:cs="David"/>
          <w:spacing w:val="6"/>
          <w:szCs w:val="24"/>
          <w:rtl/>
        </w:rPr>
        <w:t xml:space="preserve"> ...</w:t>
      </w:r>
      <w:r>
        <w:rPr>
          <w:rFonts w:ascii="Miriam" w:hAnsi="Miriam" w:cs="Miriam"/>
          <w:spacing w:val="6"/>
          <w:szCs w:val="24"/>
          <w:rtl/>
        </w:rPr>
        <w:t xml:space="preserve">המקרה שבפני, אינו מקרה של סרבנות גט מובהקת. מדובר יותר "בתכסיסנות גט". שכן הצדדים הסכימו בבית המשפט להתגרש בהסכמה. כך גם הצהירו בבית הדין הרבני חודש מאוחר יותר. וחרף כך החליט הנתבע שלא לעמוד בהסכמתו או בהתחייבותו זו. להתנהגות זו יש מחיר ויש תוצאה מבחינה חוזית. זאת ללא כל קשר למעשה הגט בפועל.... </w:t>
      </w:r>
    </w:p>
    <w:p w:rsidR="00A76863" w:rsidRDefault="00A76863" w:rsidP="00A76863">
      <w:pPr>
        <w:pStyle w:val="1"/>
        <w:spacing w:after="0" w:line="306" w:lineRule="exact"/>
        <w:rPr>
          <w:rFonts w:ascii="Miriam" w:hAnsi="Miriam" w:cs="Miriam"/>
          <w:spacing w:val="6"/>
          <w:szCs w:val="24"/>
          <w:rtl/>
        </w:rPr>
      </w:pPr>
      <w:r>
        <w:rPr>
          <w:rFonts w:ascii="Miriam" w:hAnsi="Miriam" w:cs="Miriam"/>
          <w:spacing w:val="6"/>
          <w:szCs w:val="24"/>
          <w:rtl/>
        </w:rPr>
        <w:t xml:space="preserve">זאת ועוד, הבהרתי כי לא רק שיקול זה עומד לעיני בית המשפט בתביעות מעין אלו, אלא גם החיוניות בהגנה על אינטרסים סבירים של בני זוג שעורכים הסכם גירושין וכוללים התחייבות </w:t>
      </w:r>
      <w:r>
        <w:rPr>
          <w:rFonts w:ascii="Miriam" w:hAnsi="Miriam" w:cs="Miriam"/>
          <w:spacing w:val="6"/>
          <w:szCs w:val="24"/>
          <w:rtl/>
        </w:rPr>
        <w:lastRenderedPageBreak/>
        <w:t>או הסכמה הדדית להתגרש. התעלמות שיפוטית מכך שבן זוג מתחייב ליתן גט כחלק מהסכם גירושין שמאושר בפניו ומתן יד לטקטיקה של סרבנות גט, אינה עולה בקנה אחד עם עקרונות היסוד המשמשים נר לרגלי חברה יהודית ודמוקרטית נאורה.</w:t>
      </w:r>
    </w:p>
    <w:p w:rsidR="00A76863" w:rsidRDefault="00A76863" w:rsidP="00A76863">
      <w:pPr>
        <w:pStyle w:val="1"/>
        <w:spacing w:after="0" w:line="306" w:lineRule="exact"/>
        <w:rPr>
          <w:rFonts w:ascii="Miriam" w:hAnsi="Miriam" w:cs="Miriam"/>
          <w:spacing w:val="6"/>
          <w:szCs w:val="24"/>
          <w:rtl/>
        </w:rPr>
      </w:pPr>
    </w:p>
    <w:p w:rsidR="00A76863" w:rsidRDefault="00A76863" w:rsidP="00A76863">
      <w:pPr>
        <w:pStyle w:val="1"/>
        <w:spacing w:after="0" w:line="306" w:lineRule="exact"/>
        <w:rPr>
          <w:rFonts w:ascii="Miriam" w:hAnsi="Miriam" w:cs="Miriam"/>
          <w:spacing w:val="6"/>
          <w:szCs w:val="24"/>
          <w:rtl/>
        </w:rPr>
      </w:pPr>
      <w:r>
        <w:rPr>
          <w:rFonts w:ascii="Miriam" w:hAnsi="Miriam" w:cs="Miriam"/>
          <w:spacing w:val="6"/>
          <w:szCs w:val="24"/>
          <w:rtl/>
        </w:rPr>
        <w:t>39. על-כן לגישתי, יש מקום להחמיר עם "תכסיסני גט", (ובוודאי סרבני גט) המאשרים הסכם גירושין בבית המשפט, מתחייבים בגדרו להסדיר הגט בהסכמה ולאחר מכן חוזרים בהם משיקולים טקטיים בבית הדין הרבני במטרה לשפר עמדות והישגים שבינם ובין הגט אין דבר וחצי דבר. ההחמרה השיפוטית יכולה וצריכה למצוא ביטוי במספר מישורים:</w:t>
      </w:r>
    </w:p>
    <w:p w:rsidR="00A76863" w:rsidRDefault="00A76863" w:rsidP="00A76863">
      <w:pPr>
        <w:pStyle w:val="1"/>
        <w:spacing w:after="0" w:line="306" w:lineRule="exact"/>
        <w:rPr>
          <w:rFonts w:ascii="Miriam" w:hAnsi="Miriam" w:cs="Miriam"/>
          <w:spacing w:val="6"/>
          <w:szCs w:val="24"/>
          <w:rtl/>
        </w:rPr>
      </w:pPr>
      <w:r>
        <w:rPr>
          <w:rFonts w:ascii="Miriam" w:hAnsi="Miriam" w:cs="Miriam"/>
          <w:spacing w:val="6"/>
          <w:szCs w:val="24"/>
          <w:rtl/>
        </w:rPr>
        <w:t>ראשית, תכסיסנות גט והתנהלות בחוסר תם לב מצדיקה שקילה בחיוב של הקדמת המועד שממנו ואילך ייחשב הנתבע לסרבן גט החייב בפיצוי.</w:t>
      </w:r>
    </w:p>
    <w:p w:rsidR="00A76863" w:rsidRDefault="00A76863" w:rsidP="00A76863">
      <w:pPr>
        <w:pStyle w:val="1"/>
        <w:spacing w:after="0" w:line="306" w:lineRule="exact"/>
        <w:rPr>
          <w:rFonts w:ascii="Miriam" w:hAnsi="Miriam" w:cs="Miriam"/>
          <w:spacing w:val="6"/>
          <w:szCs w:val="24"/>
          <w:rtl/>
        </w:rPr>
      </w:pPr>
      <w:r>
        <w:rPr>
          <w:rFonts w:ascii="Miriam" w:hAnsi="Miriam" w:cs="Miriam"/>
          <w:spacing w:val="6"/>
          <w:szCs w:val="24"/>
          <w:rtl/>
        </w:rPr>
        <w:t>שנית, תכסיסנות גט מכוונת כאמור עשויה להסתכם בהאמרת הפיצוי המגיע לקרבן התכסיסנות.</w:t>
      </w:r>
    </w:p>
    <w:p w:rsidR="00A76863" w:rsidRDefault="00A76863" w:rsidP="00A76863">
      <w:pPr>
        <w:pStyle w:val="1"/>
        <w:spacing w:after="0" w:line="306" w:lineRule="exact"/>
        <w:rPr>
          <w:rFonts w:ascii="Miriam" w:hAnsi="Miriam" w:cs="Miriam"/>
          <w:spacing w:val="6"/>
          <w:szCs w:val="24"/>
          <w:rtl/>
        </w:rPr>
      </w:pPr>
      <w:r>
        <w:rPr>
          <w:rFonts w:ascii="Miriam" w:hAnsi="Miriam" w:cs="Miriam"/>
          <w:spacing w:val="6"/>
          <w:szCs w:val="24"/>
          <w:rtl/>
        </w:rPr>
        <w:t xml:space="preserve">שלישית ואולי למעלה מאלה, הדבר מצדיק יצירת עילת חיוב חדשה מכוח דיני החוזים מעבר לעילה הנזיקית הקיימת. </w:t>
      </w:r>
    </w:p>
    <w:p w:rsidR="00A76863" w:rsidRDefault="00A76863" w:rsidP="00A76863">
      <w:pPr>
        <w:pStyle w:val="1"/>
        <w:spacing w:after="0" w:line="306" w:lineRule="exact"/>
        <w:rPr>
          <w:rFonts w:ascii="Miriam" w:hAnsi="Miriam" w:cs="Miriam"/>
          <w:spacing w:val="6"/>
          <w:szCs w:val="24"/>
          <w:rtl/>
        </w:rPr>
      </w:pPr>
      <w:r>
        <w:rPr>
          <w:rFonts w:ascii="Miriam" w:hAnsi="Miriam" w:cs="Miriam"/>
          <w:spacing w:val="6"/>
          <w:szCs w:val="24"/>
          <w:rtl/>
        </w:rPr>
        <w:t>כל אלה נגזרים ממדיניות שיפוטית אשר מבקשת להבהיר, כי הסכמים יש לכבד ולמלא בת</w:t>
      </w:r>
      <w:r w:rsidR="00A348DB">
        <w:rPr>
          <w:rFonts w:ascii="Miriam" w:hAnsi="Miriam" w:cs="Miriam" w:hint="cs"/>
          <w:spacing w:val="6"/>
          <w:szCs w:val="24"/>
          <w:rtl/>
        </w:rPr>
        <w:t>ו</w:t>
      </w:r>
      <w:r>
        <w:rPr>
          <w:rFonts w:ascii="Miriam" w:hAnsi="Miriam" w:cs="Miriam"/>
          <w:spacing w:val="6"/>
          <w:szCs w:val="24"/>
          <w:rtl/>
        </w:rPr>
        <w:t>ם לב והמפר התחייבותו יידע כי יש לכך מחיר כספי....</w:t>
      </w:r>
    </w:p>
    <w:p w:rsidR="00A76863" w:rsidRDefault="00A76863" w:rsidP="00A76863">
      <w:pPr>
        <w:pStyle w:val="1"/>
        <w:spacing w:after="0" w:line="306" w:lineRule="exact"/>
        <w:rPr>
          <w:rFonts w:ascii="Miriam" w:hAnsi="Miriam" w:cs="Miriam"/>
          <w:spacing w:val="6"/>
          <w:szCs w:val="24"/>
          <w:rtl/>
        </w:rPr>
      </w:pPr>
      <w:r>
        <w:rPr>
          <w:rFonts w:ascii="Miriam" w:hAnsi="Miriam" w:cs="Miriam"/>
          <w:spacing w:val="6"/>
          <w:szCs w:val="24"/>
          <w:rtl/>
        </w:rPr>
        <w:t>ואמנם אין בית המשפט לענייני משפחה מוסמך לאשר התחייבות צדדים להתגרש. אך מוסמך הוא גם מוסמך לדון בתביעה לפיצוי בגין הפרת התחייבות חוזית בחוסר ת</w:t>
      </w:r>
      <w:r w:rsidR="00A348DB">
        <w:rPr>
          <w:rFonts w:ascii="Miriam" w:hAnsi="Miriam" w:cs="Miriam" w:hint="cs"/>
          <w:spacing w:val="6"/>
          <w:szCs w:val="24"/>
          <w:rtl/>
        </w:rPr>
        <w:t>ו</w:t>
      </w:r>
      <w:r>
        <w:rPr>
          <w:rFonts w:ascii="Miriam" w:hAnsi="Miriam" w:cs="Miriam"/>
          <w:spacing w:val="6"/>
          <w:szCs w:val="24"/>
          <w:rtl/>
        </w:rPr>
        <w:t>ם לב להסדיר הגט בהסכמה.</w:t>
      </w:r>
    </w:p>
    <w:p w:rsidR="00A76863" w:rsidRDefault="00A348DB" w:rsidP="00A76863">
      <w:pPr>
        <w:pStyle w:val="1"/>
        <w:spacing w:after="0" w:line="306" w:lineRule="exact"/>
        <w:rPr>
          <w:rFonts w:ascii="Miriam" w:hAnsi="Miriam" w:cs="Miriam"/>
          <w:spacing w:val="6"/>
          <w:szCs w:val="24"/>
          <w:rtl/>
        </w:rPr>
      </w:pPr>
      <w:r>
        <w:rPr>
          <w:rFonts w:ascii="Miriam" w:hAnsi="Miriam" w:cs="Miriam" w:hint="cs"/>
          <w:spacing w:val="6"/>
          <w:szCs w:val="24"/>
          <w:rtl/>
        </w:rPr>
        <w:t>...</w:t>
      </w:r>
    </w:p>
    <w:p w:rsidR="00A76863" w:rsidRDefault="00A76863" w:rsidP="003B5ABD">
      <w:pPr>
        <w:pStyle w:val="1"/>
        <w:spacing w:after="0" w:line="306" w:lineRule="exact"/>
        <w:rPr>
          <w:rFonts w:ascii="David" w:hAnsi="David" w:cs="David"/>
          <w:spacing w:val="6"/>
          <w:szCs w:val="24"/>
          <w:rtl/>
        </w:rPr>
      </w:pPr>
      <w:r>
        <w:rPr>
          <w:rFonts w:ascii="Miriam" w:hAnsi="Miriam" w:cs="Miriam"/>
          <w:spacing w:val="6"/>
          <w:szCs w:val="24"/>
          <w:rtl/>
        </w:rPr>
        <w:t>52.</w:t>
      </w:r>
      <w:r>
        <w:rPr>
          <w:rFonts w:ascii="David" w:hAnsi="David" w:cs="David"/>
          <w:spacing w:val="6"/>
          <w:szCs w:val="24"/>
          <w:rtl/>
        </w:rPr>
        <w:t xml:space="preserve"> </w:t>
      </w:r>
      <w:r>
        <w:rPr>
          <w:rFonts w:ascii="Miriam" w:hAnsi="Miriam" w:cs="Miriam"/>
          <w:spacing w:val="6"/>
          <w:szCs w:val="24"/>
          <w:rtl/>
        </w:rPr>
        <w:t>כשבני זוג מגיעים לבית המשפט ועורכים הסכם גירושין כולל ומצהירים בו, כי הם מתחייבים לסדר את הגט בהסכמה בבית הדין הרבני, ומאוחר יותר הצהרה זו נרמסת ברגל גסה על ידי מי מהם המחליט "לחזור בו" וכאשר בית המשפט מתרשם כי מדובר "בחזרה טקטית" לצרכי השגת הישגים או שיפור עמדות לעומת אלו נשוא ההסכם, מדובר בהתנהגות נעדרת ת</w:t>
      </w:r>
      <w:r w:rsidR="00A348DB">
        <w:rPr>
          <w:rFonts w:ascii="Miriam" w:hAnsi="Miriam" w:cs="Miriam" w:hint="cs"/>
          <w:spacing w:val="6"/>
          <w:szCs w:val="24"/>
          <w:rtl/>
        </w:rPr>
        <w:t>ו</w:t>
      </w:r>
      <w:r>
        <w:rPr>
          <w:rFonts w:ascii="Miriam" w:hAnsi="Miriam" w:cs="Miriam"/>
          <w:spacing w:val="6"/>
          <w:szCs w:val="24"/>
          <w:rtl/>
        </w:rPr>
        <w:t>ם לב. מדובר בהפרת חיוב חוזי לכל דבר ועניין. הנה כי-כן, על הבחינה הנזיקית של סרבנות הגט, ראוי להוסיף כאמור גם את הבחינה החוזית.</w:t>
      </w:r>
    </w:p>
    <w:p w:rsidR="00A76863" w:rsidRDefault="003B5ABD" w:rsidP="00A76863">
      <w:pPr>
        <w:pStyle w:val="1"/>
        <w:spacing w:after="0" w:line="306" w:lineRule="exact"/>
        <w:rPr>
          <w:rFonts w:ascii="David" w:hAnsi="David" w:cs="David"/>
          <w:spacing w:val="6"/>
          <w:szCs w:val="24"/>
          <w:rtl/>
        </w:rPr>
      </w:pPr>
      <w:r>
        <w:rPr>
          <w:rFonts w:ascii="David" w:hAnsi="David" w:cs="David" w:hint="cs"/>
          <w:spacing w:val="6"/>
          <w:szCs w:val="24"/>
          <w:rtl/>
        </w:rPr>
        <w:t>...</w:t>
      </w:r>
    </w:p>
    <w:p w:rsidR="00A76863" w:rsidRDefault="00A76863" w:rsidP="00A76863">
      <w:pPr>
        <w:pStyle w:val="1"/>
        <w:spacing w:after="0" w:line="306" w:lineRule="exact"/>
        <w:rPr>
          <w:rFonts w:ascii="Miriam" w:hAnsi="Miriam" w:cs="Miriam"/>
          <w:spacing w:val="6"/>
          <w:szCs w:val="24"/>
          <w:rtl/>
        </w:rPr>
      </w:pPr>
      <w:r>
        <w:rPr>
          <w:rFonts w:ascii="Miriam" w:hAnsi="Miriam" w:cs="Miriam"/>
          <w:spacing w:val="6"/>
          <w:szCs w:val="24"/>
          <w:rtl/>
        </w:rPr>
        <w:t>55.</w:t>
      </w:r>
      <w:r>
        <w:rPr>
          <w:rFonts w:ascii="David" w:hAnsi="David" w:cs="David"/>
          <w:spacing w:val="6"/>
          <w:szCs w:val="24"/>
          <w:rtl/>
        </w:rPr>
        <w:t xml:space="preserve"> </w:t>
      </w:r>
      <w:r>
        <w:rPr>
          <w:rFonts w:ascii="Miriam" w:hAnsi="Miriam" w:cs="Miriam"/>
          <w:spacing w:val="6"/>
          <w:szCs w:val="24"/>
          <w:rtl/>
        </w:rPr>
        <w:t>לגבי דידי, מקום שנכרת בין בני זוג הסכם כולל ובו הסכמה והתחייבות הדדית להסדיר הגט הרי שמעבר לחובת הזהירות (שהופכת למוגברת עוד יותר בשל ההתחייבות החוזית להסדיר הגט בהסכם שבדרך כלל מאושר בבית המשפט), קם לו חיוב חוזי מפורש שיש לבצעו בת</w:t>
      </w:r>
      <w:r w:rsidR="003B5ABD">
        <w:rPr>
          <w:rFonts w:ascii="Miriam" w:hAnsi="Miriam" w:cs="Miriam" w:hint="cs"/>
          <w:spacing w:val="6"/>
          <w:szCs w:val="24"/>
          <w:rtl/>
        </w:rPr>
        <w:t>ו</w:t>
      </w:r>
      <w:r>
        <w:rPr>
          <w:rFonts w:ascii="Miriam" w:hAnsi="Miriam" w:cs="Miriam"/>
          <w:spacing w:val="6"/>
          <w:szCs w:val="24"/>
          <w:rtl/>
        </w:rPr>
        <w:t xml:space="preserve">ם לב. שוב אין הצדדים נמצאים באותו </w:t>
      </w:r>
      <w:r>
        <w:rPr>
          <w:rFonts w:ascii="Miriam" w:hAnsi="Miriam" w:cs="Miriam"/>
          <w:spacing w:val="6"/>
          <w:szCs w:val="24"/>
          <w:rtl/>
        </w:rPr>
        <w:lastRenderedPageBreak/>
        <w:t>מקום חוזי בו היו קודם עריכת ההסכם. כעת משערכו הסכם ובו הסכימו להתגרש, הפרה של החיוב החוזי לסדר הגט, יכולה וצריכה בנסיבות המתאימות להיחשב עמידה שלא בתום לב על זכות שיש לצדדים מכוח הדין האישי והיא עלולה להקים חיוב בפיצוי חוזי.</w:t>
      </w:r>
    </w:p>
    <w:p w:rsidR="00A76863" w:rsidRDefault="00A76863" w:rsidP="00A76863">
      <w:pPr>
        <w:pStyle w:val="1"/>
        <w:spacing w:after="0" w:line="306" w:lineRule="exact"/>
        <w:rPr>
          <w:rFonts w:ascii="Miriam" w:hAnsi="Miriam" w:cs="Miriam"/>
          <w:spacing w:val="6"/>
          <w:szCs w:val="24"/>
          <w:rtl/>
        </w:rPr>
      </w:pPr>
    </w:p>
    <w:p w:rsidR="00A76863" w:rsidRDefault="00A76863" w:rsidP="00A76863">
      <w:pPr>
        <w:pStyle w:val="1"/>
        <w:spacing w:after="0" w:line="306" w:lineRule="exact"/>
        <w:rPr>
          <w:rFonts w:ascii="David" w:hAnsi="David" w:cs="David"/>
          <w:spacing w:val="6"/>
          <w:szCs w:val="24"/>
          <w:rtl/>
        </w:rPr>
      </w:pPr>
      <w:r>
        <w:rPr>
          <w:rFonts w:ascii="Miriam" w:hAnsi="Miriam" w:cs="Miriam"/>
          <w:spacing w:val="6"/>
          <w:szCs w:val="24"/>
          <w:rtl/>
        </w:rPr>
        <w:t>56. הייתי מוסיף על כך, כי בכגון דא מתהפך נטל השכנוע : על בן הזוג המפר את התחייבותו והסכמתו החוזית להסדיר הגט בהסכמה להוכיח ולהראות שעשה כן בתום לב.</w:t>
      </w:r>
      <w:r>
        <w:rPr>
          <w:rFonts w:ascii="David" w:hAnsi="David" w:cs="David"/>
          <w:spacing w:val="6"/>
          <w:szCs w:val="24"/>
          <w:rtl/>
        </w:rPr>
        <w:t>"</w:t>
      </w:r>
    </w:p>
    <w:p w:rsidR="00A76863" w:rsidRDefault="00A76863" w:rsidP="00A76863">
      <w:pPr>
        <w:spacing w:line="306" w:lineRule="exact"/>
        <w:jc w:val="both"/>
        <w:rPr>
          <w:rFonts w:asciiTheme="minorHAnsi" w:hAnsiTheme="minorHAnsi"/>
          <w:spacing w:val="6"/>
          <w:rtl/>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spacing w:val="6"/>
          <w:sz w:val="24"/>
          <w:szCs w:val="24"/>
          <w:rtl/>
        </w:rPr>
        <w:t>סעיף 2 ל</w:t>
      </w:r>
      <w:r>
        <w:rPr>
          <w:rFonts w:ascii="Miriam" w:hAnsi="Miriam" w:cs="Miriam"/>
          <w:spacing w:val="6"/>
          <w:sz w:val="24"/>
          <w:szCs w:val="24"/>
          <w:rtl/>
        </w:rPr>
        <w:t>חוק החוזים (תרופות בשל הפרת חוזה)</w:t>
      </w:r>
      <w:r w:rsidR="003B5ABD">
        <w:rPr>
          <w:rFonts w:ascii="Miriam" w:hAnsi="Miriam" w:cs="Miriam" w:hint="cs"/>
          <w:spacing w:val="6"/>
          <w:sz w:val="24"/>
          <w:szCs w:val="24"/>
          <w:rtl/>
        </w:rPr>
        <w:t>,</w:t>
      </w:r>
      <w:r>
        <w:rPr>
          <w:rFonts w:ascii="Miriam" w:hAnsi="Miriam" w:cs="Miriam"/>
          <w:spacing w:val="6"/>
          <w:sz w:val="24"/>
          <w:szCs w:val="24"/>
          <w:rtl/>
        </w:rPr>
        <w:t xml:space="preserve"> </w:t>
      </w:r>
      <w:r w:rsidR="003B5ABD">
        <w:rPr>
          <w:rFonts w:ascii="Miriam" w:hAnsi="Miriam" w:cs="Miriam" w:hint="cs"/>
          <w:spacing w:val="6"/>
          <w:sz w:val="24"/>
          <w:szCs w:val="24"/>
          <w:rtl/>
        </w:rPr>
        <w:t>ה</w:t>
      </w:r>
      <w:r>
        <w:rPr>
          <w:rFonts w:ascii="Miriam" w:hAnsi="Miriam" w:cs="Miriam"/>
          <w:spacing w:val="6"/>
          <w:sz w:val="24"/>
          <w:szCs w:val="24"/>
          <w:rtl/>
        </w:rPr>
        <w:t>תשל"א-1970</w:t>
      </w:r>
      <w:r>
        <w:rPr>
          <w:rFonts w:cs="David"/>
          <w:spacing w:val="6"/>
          <w:sz w:val="24"/>
          <w:szCs w:val="24"/>
          <w:rtl/>
        </w:rPr>
        <w:t xml:space="preserve"> קובע כדלקמן:</w:t>
      </w:r>
    </w:p>
    <w:p w:rsidR="00A76863" w:rsidRDefault="00A76863" w:rsidP="00A76863">
      <w:pPr>
        <w:pStyle w:val="1"/>
        <w:spacing w:after="0" w:line="306" w:lineRule="exact"/>
        <w:rPr>
          <w:rFonts w:ascii="David" w:hAnsi="David" w:cs="David"/>
          <w:spacing w:val="6"/>
          <w:szCs w:val="24"/>
        </w:rPr>
      </w:pPr>
    </w:p>
    <w:p w:rsidR="00A76863" w:rsidRDefault="00A76863" w:rsidP="00A76863">
      <w:pPr>
        <w:pStyle w:val="1"/>
        <w:spacing w:after="0" w:line="306" w:lineRule="exact"/>
        <w:rPr>
          <w:rFonts w:asciiTheme="minorHAnsi" w:hAnsiTheme="minorHAnsi" w:cstheme="minorBidi"/>
          <w:bCs/>
          <w:i/>
          <w:iCs/>
          <w:spacing w:val="6"/>
          <w:szCs w:val="24"/>
          <w:rtl/>
        </w:rPr>
      </w:pPr>
      <w:r>
        <w:rPr>
          <w:rFonts w:ascii="David" w:hAnsi="David" w:cs="David"/>
          <w:spacing w:val="6"/>
          <w:szCs w:val="24"/>
          <w:rtl/>
        </w:rPr>
        <w:t>"</w:t>
      </w:r>
      <w:r>
        <w:rPr>
          <w:rFonts w:ascii="Miriam" w:hAnsi="Miriam" w:cs="Miriam"/>
          <w:spacing w:val="6"/>
          <w:szCs w:val="24"/>
          <w:rtl/>
        </w:rPr>
        <w:t>הופר חוזה, זכאי הנתבע לתבוע את אכיפתו או לבטל את החוזה וזכאי הוא לפיצויים בנוסף על אחת התרופות האמורות או במקומן והכל לפי הוראת חוק זה</w:t>
      </w:r>
      <w:r>
        <w:rPr>
          <w:rFonts w:ascii="David" w:hAnsi="David" w:cs="David"/>
          <w:spacing w:val="6"/>
          <w:szCs w:val="24"/>
          <w:rtl/>
        </w:rPr>
        <w:t>".</w:t>
      </w:r>
    </w:p>
    <w:p w:rsidR="00A76863" w:rsidRDefault="00A76863" w:rsidP="00A76863">
      <w:pPr>
        <w:pStyle w:val="1"/>
        <w:spacing w:after="0" w:line="306" w:lineRule="exact"/>
        <w:rPr>
          <w:bCs/>
          <w:i/>
          <w:iCs/>
          <w:spacing w:val="6"/>
          <w:szCs w:val="24"/>
          <w:rtl/>
        </w:rPr>
      </w:pPr>
    </w:p>
    <w:p w:rsidR="00A76863" w:rsidRDefault="00A76863" w:rsidP="003B5ABD">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ב</w:t>
      </w:r>
      <w:r>
        <w:rPr>
          <w:rFonts w:ascii="Miriam" w:hAnsi="Miriam" w:cs="Miriam"/>
          <w:spacing w:val="6"/>
          <w:sz w:val="24"/>
          <w:szCs w:val="24"/>
          <w:rtl/>
        </w:rPr>
        <w:t xml:space="preserve">ע"א 401/66 מרום נ' מרום, פד"י כא(1) 673 (1967) </w:t>
      </w:r>
      <w:r>
        <w:rPr>
          <w:rFonts w:cs="David"/>
          <w:spacing w:val="6"/>
          <w:sz w:val="24"/>
          <w:szCs w:val="24"/>
          <w:rtl/>
        </w:rPr>
        <w:t>נפסק כי בית המשפט האזרחי אינו מוסמך לדון בתביעה לפיצוי בגין הפרת הסכם גירושין בו התחייב הבעל לתת גט לאשתו, מאחר שתביעה מהסוג הזה מסורה לסמכותו הבלעדית של בית הדין. אולם, בתביעות דומות המוגשות לפיצויים בגין הנזקים שנגרמו בגין סרבנות גט, אין התביעה מתייחסת לאכיפת התחייבות מפורשת שקיבל על עצמו הבעל למתן גט כחלק מהסכם גירושין אשר אושר בבית הדין, אלא לדרישת האישה לקבלת פיצויים בגין הנזקים אשר לטענתה נגרמו מהתנהגותו של הבעל [</w:t>
      </w:r>
      <w:r>
        <w:rPr>
          <w:rFonts w:ascii="Miriam" w:hAnsi="Miriam" w:cs="Miriam"/>
          <w:spacing w:val="6"/>
          <w:sz w:val="24"/>
          <w:szCs w:val="24"/>
          <w:rtl/>
        </w:rPr>
        <w:t>תמ"ש (י-ם) 6743/02 כ' נ' כ' (21.7.2008)</w:t>
      </w:r>
      <w:r>
        <w:rPr>
          <w:rFonts w:cs="David"/>
          <w:spacing w:val="6"/>
          <w:sz w:val="24"/>
          <w:szCs w:val="24"/>
          <w:rtl/>
        </w:rPr>
        <w:t>].</w:t>
      </w:r>
    </w:p>
    <w:p w:rsidR="00A76863" w:rsidRDefault="00A76863" w:rsidP="00A76863">
      <w:pPr>
        <w:pStyle w:val="ad"/>
        <w:spacing w:after="0" w:line="306" w:lineRule="exact"/>
        <w:ind w:left="509"/>
        <w:jc w:val="both"/>
        <w:rPr>
          <w:rFonts w:cs="David"/>
          <w:spacing w:val="6"/>
          <w:sz w:val="24"/>
          <w:szCs w:val="24"/>
        </w:rPr>
      </w:pPr>
    </w:p>
    <w:p w:rsidR="00A76863" w:rsidRDefault="00A76863" w:rsidP="003B5ABD">
      <w:pPr>
        <w:pStyle w:val="ad"/>
        <w:numPr>
          <w:ilvl w:val="0"/>
          <w:numId w:val="2"/>
        </w:numPr>
        <w:spacing w:after="0" w:line="306" w:lineRule="exact"/>
        <w:ind w:left="509"/>
        <w:jc w:val="both"/>
        <w:rPr>
          <w:rFonts w:cs="David"/>
          <w:spacing w:val="6"/>
          <w:sz w:val="24"/>
          <w:szCs w:val="24"/>
        </w:rPr>
      </w:pPr>
      <w:r>
        <w:rPr>
          <w:rFonts w:cs="David"/>
          <w:spacing w:val="6"/>
          <w:sz w:val="24"/>
          <w:szCs w:val="24"/>
          <w:rtl/>
        </w:rPr>
        <w:t xml:space="preserve">התובענה שבפניי היא תביעה לפיצוי כספי בלבד, מכח דיני החוזים ו/או מכוח דיני הנזיקין, והיא </w:t>
      </w:r>
      <w:r w:rsidR="003B5ABD">
        <w:rPr>
          <w:rFonts w:cs="David" w:hint="cs"/>
          <w:spacing w:val="6"/>
          <w:sz w:val="24"/>
          <w:szCs w:val="24"/>
          <w:rtl/>
        </w:rPr>
        <w:t xml:space="preserve">אינה </w:t>
      </w:r>
      <w:r>
        <w:rPr>
          <w:rFonts w:cs="David"/>
          <w:spacing w:val="6"/>
          <w:sz w:val="24"/>
          <w:szCs w:val="24"/>
          <w:rtl/>
        </w:rPr>
        <w:t>נועדה לצורך אכיפת התחייבות הנתבע או אילוצו ל</w:t>
      </w:r>
      <w:r w:rsidR="003B5ABD">
        <w:rPr>
          <w:rFonts w:cs="David" w:hint="cs"/>
          <w:spacing w:val="6"/>
          <w:sz w:val="24"/>
          <w:szCs w:val="24"/>
          <w:rtl/>
        </w:rPr>
        <w:t>י</w:t>
      </w:r>
      <w:r>
        <w:rPr>
          <w:rFonts w:cs="David"/>
          <w:spacing w:val="6"/>
          <w:sz w:val="24"/>
          <w:szCs w:val="24"/>
          <w:rtl/>
        </w:rPr>
        <w:t>תן הגט – כשממילא זה ניתן בטרם מתן פסק דין זה – אלא לדרישת התובעת לקבל פיצויים בגין נזקים אשר לטענתה נגרמו לה מהתנהגותו של הנתבע, גרידא.</w:t>
      </w:r>
    </w:p>
    <w:p w:rsidR="00A76863" w:rsidRPr="003B5ABD" w:rsidRDefault="00A76863" w:rsidP="00A76863">
      <w:pPr>
        <w:pStyle w:val="ad"/>
        <w:spacing w:after="0" w:line="306" w:lineRule="exact"/>
        <w:rPr>
          <w:rFonts w:cs="David"/>
          <w:spacing w:val="6"/>
          <w:sz w:val="24"/>
          <w:szCs w:val="24"/>
        </w:rPr>
      </w:pPr>
    </w:p>
    <w:p w:rsidR="00A76863" w:rsidRDefault="00A76863" w:rsidP="003B5ABD">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לאור האמור לעיל, בהנחה שלא יתקבל הסבר מניח את הדעת לחזרתו של הנתבע מהסכמתו ליתן גט ל</w:t>
      </w:r>
      <w:r w:rsidR="003B5ABD">
        <w:rPr>
          <w:rFonts w:cs="David" w:hint="cs"/>
          <w:spacing w:val="6"/>
          <w:sz w:val="24"/>
          <w:szCs w:val="24"/>
          <w:rtl/>
        </w:rPr>
        <w:t>תובעת</w:t>
      </w:r>
      <w:r>
        <w:rPr>
          <w:rFonts w:cs="David"/>
          <w:spacing w:val="6"/>
          <w:sz w:val="24"/>
          <w:szCs w:val="24"/>
          <w:rtl/>
        </w:rPr>
        <w:t>, הרי שיש לראות בכך הפרה יסודית של ההסכם בין הצדדים. שאלת קיומה של הפרה מצד הנתבע תידון במסגרת עוולת הרשלנות (ר' ס' 77-67 להלן).</w:t>
      </w:r>
    </w:p>
    <w:p w:rsidR="00A76863" w:rsidRDefault="00A76863" w:rsidP="00A76863">
      <w:pPr>
        <w:pStyle w:val="ad"/>
        <w:spacing w:after="0" w:line="306" w:lineRule="exact"/>
        <w:rPr>
          <w:rFonts w:cs="David"/>
          <w:spacing w:val="6"/>
          <w:sz w:val="24"/>
          <w:szCs w:val="24"/>
        </w:rPr>
      </w:pPr>
    </w:p>
    <w:p w:rsidR="00A76863" w:rsidRDefault="00A76863" w:rsidP="00A76863">
      <w:pPr>
        <w:pStyle w:val="Style1"/>
        <w:numPr>
          <w:ilvl w:val="0"/>
          <w:numId w:val="0"/>
        </w:numPr>
        <w:spacing w:after="0" w:line="306" w:lineRule="exact"/>
        <w:ind w:left="84"/>
        <w:rPr>
          <w:b/>
          <w:bCs/>
          <w:spacing w:val="6"/>
          <w:u w:val="thick"/>
          <w:rtl/>
        </w:rPr>
      </w:pPr>
      <w:r>
        <w:rPr>
          <w:rFonts w:hint="cs"/>
          <w:b/>
          <w:bCs/>
          <w:spacing w:val="6"/>
          <w:u w:val="thick"/>
          <w:rtl/>
        </w:rPr>
        <w:t xml:space="preserve">הפרת חובה חקוקה </w:t>
      </w:r>
    </w:p>
    <w:p w:rsidR="00A76863" w:rsidRDefault="00A76863" w:rsidP="00A76863">
      <w:pPr>
        <w:pStyle w:val="Style1"/>
        <w:numPr>
          <w:ilvl w:val="0"/>
          <w:numId w:val="0"/>
        </w:numPr>
        <w:spacing w:after="0" w:line="306" w:lineRule="exact"/>
        <w:ind w:left="84"/>
        <w:rPr>
          <w:b/>
          <w:bCs/>
          <w:spacing w:val="6"/>
          <w:u w:val="single"/>
          <w:rtl/>
        </w:rPr>
      </w:pPr>
    </w:p>
    <w:p w:rsidR="00A76863" w:rsidRDefault="00A76863" w:rsidP="003B5ABD">
      <w:pPr>
        <w:pStyle w:val="ad"/>
        <w:numPr>
          <w:ilvl w:val="0"/>
          <w:numId w:val="2"/>
        </w:numPr>
        <w:spacing w:after="0" w:line="306" w:lineRule="exact"/>
        <w:ind w:left="509"/>
        <w:jc w:val="both"/>
        <w:rPr>
          <w:rFonts w:ascii="David" w:hAnsi="David" w:cs="David"/>
          <w:b/>
          <w:spacing w:val="6"/>
          <w:sz w:val="24"/>
          <w:szCs w:val="24"/>
          <w:rtl/>
        </w:rPr>
      </w:pPr>
      <w:r>
        <w:rPr>
          <w:rFonts w:ascii="David" w:hAnsi="David" w:cs="David"/>
          <w:b/>
          <w:spacing w:val="6"/>
          <w:sz w:val="24"/>
          <w:szCs w:val="24"/>
          <w:rtl/>
        </w:rPr>
        <w:t>סעיף 63 ל</w:t>
      </w:r>
      <w:r>
        <w:rPr>
          <w:rFonts w:ascii="Miriam" w:hAnsi="Miriam" w:cs="Miriam"/>
          <w:b/>
          <w:spacing w:val="6"/>
          <w:sz w:val="24"/>
          <w:szCs w:val="24"/>
          <w:rtl/>
        </w:rPr>
        <w:t>פקודת הנזיקין (נוסח חדש), התשכ"ח-1968</w:t>
      </w:r>
      <w:r>
        <w:rPr>
          <w:rFonts w:ascii="David" w:hAnsi="David" w:cs="David"/>
          <w:b/>
          <w:spacing w:val="6"/>
          <w:sz w:val="24"/>
          <w:szCs w:val="24"/>
          <w:rtl/>
        </w:rPr>
        <w:t xml:space="preserve"> (להלן- </w:t>
      </w:r>
      <w:r>
        <w:rPr>
          <w:rFonts w:ascii="David" w:hAnsi="David" w:cs="David"/>
          <w:bCs/>
          <w:spacing w:val="6"/>
          <w:sz w:val="24"/>
          <w:szCs w:val="24"/>
          <w:rtl/>
        </w:rPr>
        <w:t>פקודת הנזיקין</w:t>
      </w:r>
      <w:r w:rsidR="006508B6" w:rsidRPr="006508B6">
        <w:rPr>
          <w:rFonts w:ascii="David" w:hAnsi="David" w:cs="David" w:hint="cs"/>
          <w:b/>
          <w:spacing w:val="6"/>
          <w:sz w:val="24"/>
          <w:szCs w:val="24"/>
          <w:rtl/>
        </w:rPr>
        <w:t xml:space="preserve"> או</w:t>
      </w:r>
      <w:r w:rsidR="006508B6">
        <w:rPr>
          <w:rFonts w:ascii="David" w:hAnsi="David" w:cs="David" w:hint="cs"/>
          <w:bCs/>
          <w:spacing w:val="6"/>
          <w:sz w:val="24"/>
          <w:szCs w:val="24"/>
          <w:rtl/>
        </w:rPr>
        <w:t xml:space="preserve"> הפקודה</w:t>
      </w:r>
      <w:r>
        <w:rPr>
          <w:rFonts w:ascii="David" w:hAnsi="David" w:cs="David"/>
          <w:b/>
          <w:spacing w:val="6"/>
          <w:sz w:val="24"/>
          <w:szCs w:val="24"/>
          <w:rtl/>
        </w:rPr>
        <w:t>) קובע כדל</w:t>
      </w:r>
      <w:r w:rsidR="003B5ABD">
        <w:rPr>
          <w:rFonts w:ascii="David" w:hAnsi="David" w:cs="David" w:hint="cs"/>
          <w:b/>
          <w:spacing w:val="6"/>
          <w:sz w:val="24"/>
          <w:szCs w:val="24"/>
          <w:rtl/>
        </w:rPr>
        <w:t>קמן</w:t>
      </w:r>
      <w:r>
        <w:rPr>
          <w:rFonts w:ascii="David" w:hAnsi="David" w:cs="David"/>
          <w:b/>
          <w:spacing w:val="6"/>
          <w:sz w:val="24"/>
          <w:szCs w:val="24"/>
          <w:rtl/>
        </w:rPr>
        <w:t xml:space="preserve">: </w:t>
      </w:r>
    </w:p>
    <w:p w:rsidR="00A76863" w:rsidRDefault="00A76863" w:rsidP="00A76863">
      <w:pPr>
        <w:pStyle w:val="1"/>
        <w:spacing w:after="0" w:line="306" w:lineRule="exact"/>
        <w:rPr>
          <w:rFonts w:ascii="David" w:hAnsi="David" w:cs="David"/>
          <w:spacing w:val="6"/>
          <w:szCs w:val="24"/>
        </w:rPr>
      </w:pPr>
    </w:p>
    <w:p w:rsidR="00A76863" w:rsidRDefault="00A76863" w:rsidP="00A76863">
      <w:pPr>
        <w:pStyle w:val="1"/>
        <w:spacing w:after="0" w:line="306" w:lineRule="exact"/>
        <w:rPr>
          <w:rFonts w:ascii="David" w:hAnsi="David" w:cs="David"/>
          <w:spacing w:val="6"/>
          <w:szCs w:val="24"/>
          <w:rtl/>
        </w:rPr>
      </w:pPr>
      <w:r>
        <w:rPr>
          <w:rFonts w:ascii="David" w:hAnsi="David" w:cs="David"/>
          <w:spacing w:val="6"/>
          <w:szCs w:val="24"/>
          <w:rtl/>
        </w:rPr>
        <w:t>"</w:t>
      </w:r>
      <w:r>
        <w:rPr>
          <w:rFonts w:ascii="Miriam" w:hAnsi="Miriam" w:cs="Miriam"/>
          <w:spacing w:val="6"/>
          <w:szCs w:val="24"/>
          <w:rtl/>
        </w:rPr>
        <w:t xml:space="preserve">מפר חובה חקוקה הוא מי שאינו מקיים חובה המוטלת עליו על פי כל חיקוק – למעט פקודה זו – והחיקוק, לפי פירושו הנכון, נועד לטובתו או להגנתו של אדם אחר, וההפרה גרמה לאותו אדם </w:t>
      </w:r>
      <w:r>
        <w:rPr>
          <w:rFonts w:ascii="Miriam" w:hAnsi="Miriam" w:cs="Miriam"/>
          <w:spacing w:val="6"/>
          <w:szCs w:val="24"/>
          <w:rtl/>
        </w:rPr>
        <w:lastRenderedPageBreak/>
        <w:t>נזק מסוגו או מטבעו של הנזק שאליו נתכוון החיקוק; אולם אין האדם האחר זכאי בשל ההפרה לתרופה המפורשת בפקודה זו, אם החיקוק, לפי פירושו הנכון, התכוון להוציא תרופה זו.</w:t>
      </w:r>
      <w:r>
        <w:rPr>
          <w:rFonts w:ascii="David" w:hAnsi="David" w:cs="David"/>
          <w:spacing w:val="6"/>
          <w:szCs w:val="24"/>
          <w:rtl/>
        </w:rPr>
        <w:t xml:space="preserve">" </w:t>
      </w:r>
    </w:p>
    <w:p w:rsidR="00A76863" w:rsidRDefault="00A76863" w:rsidP="00A76863">
      <w:pPr>
        <w:pStyle w:val="1"/>
        <w:spacing w:after="0" w:line="306" w:lineRule="exact"/>
        <w:rPr>
          <w:rFonts w:ascii="David" w:hAnsi="David" w:cs="David"/>
          <w:spacing w:val="6"/>
          <w:szCs w:val="24"/>
          <w:rtl/>
        </w:rPr>
      </w:pPr>
    </w:p>
    <w:p w:rsidR="00A76863" w:rsidRDefault="00A76863" w:rsidP="00786EDE">
      <w:pPr>
        <w:pStyle w:val="ad"/>
        <w:numPr>
          <w:ilvl w:val="0"/>
          <w:numId w:val="2"/>
        </w:numPr>
        <w:spacing w:after="0" w:line="306" w:lineRule="exact"/>
        <w:ind w:left="509"/>
        <w:jc w:val="both"/>
        <w:rPr>
          <w:rFonts w:ascii="David" w:hAnsi="David" w:cs="David"/>
          <w:spacing w:val="6"/>
          <w:sz w:val="24"/>
          <w:szCs w:val="24"/>
          <w:rtl/>
        </w:rPr>
      </w:pPr>
      <w:r>
        <w:rPr>
          <w:rFonts w:ascii="Miriam" w:hAnsi="Miriam" w:cs="Miriam"/>
          <w:spacing w:val="6"/>
          <w:sz w:val="24"/>
          <w:szCs w:val="24"/>
          <w:rtl/>
        </w:rPr>
        <w:t>בע"א 145/80 ועקנין נ' המועצה המקומית בית שמש, פ"ד ל"ז(1) 113 (1982)</w:t>
      </w:r>
      <w:r>
        <w:rPr>
          <w:rFonts w:ascii="David" w:hAnsi="David" w:cs="David"/>
          <w:spacing w:val="6"/>
          <w:sz w:val="24"/>
          <w:szCs w:val="24"/>
          <w:rtl/>
        </w:rPr>
        <w:t>, נקבע כי סעיף 63 לפקודת הנזיקין מונה חמישה יסודות מצטברים: חובה המוטלת על המזיק מכח חיקוק; החיקוק נועד לטובתו של הניזוק; המזיק הפר חובה המוטלת עליו; ההפרה גרמה לניזוק נזק; הנזק הנגרם הוא מסוג הנזק אליו התכוון המחוקק.</w:t>
      </w:r>
    </w:p>
    <w:p w:rsidR="00A76863" w:rsidRDefault="00A76863" w:rsidP="00A76863">
      <w:pPr>
        <w:pStyle w:val="ad"/>
        <w:spacing w:after="0" w:line="306" w:lineRule="exact"/>
        <w:ind w:left="509"/>
        <w:jc w:val="both"/>
        <w:rPr>
          <w:rFonts w:ascii="David" w:hAnsi="David" w:cs="David"/>
          <w:spacing w:val="6"/>
          <w:sz w:val="24"/>
          <w:szCs w:val="24"/>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Pr>
      </w:pPr>
      <w:r>
        <w:rPr>
          <w:rFonts w:ascii="David" w:hAnsi="David" w:cs="David"/>
          <w:spacing w:val="6"/>
          <w:sz w:val="24"/>
          <w:szCs w:val="24"/>
          <w:rtl/>
        </w:rPr>
        <w:t>עוולת הפרת חובה חקוקה הינה בבחינת "עוולת מסגרת", המתמלאת בתוכן קונקרטי בהתאם לנסיבותיו של כל מקרה. השימוש בעוולה זו ייעשה רק על דרך הצמצום, על מנת שהעוולה לא תשמש סעיף סל המקים חבות כמעט אבסולוטית באופן המנוגד למטרתו המקורית [</w:t>
      </w:r>
      <w:r>
        <w:rPr>
          <w:rFonts w:ascii="Miriam" w:hAnsi="Miriam" w:cs="Miriam"/>
          <w:spacing w:val="6"/>
          <w:sz w:val="24"/>
          <w:szCs w:val="24"/>
          <w:rtl/>
        </w:rPr>
        <w:t xml:space="preserve">ע"א 804/80 </w:t>
      </w:r>
      <w:r>
        <w:rPr>
          <w:rFonts w:ascii="Miriam" w:hAnsi="Miriam" w:cs="Miriam"/>
          <w:spacing w:val="6"/>
          <w:sz w:val="24"/>
          <w:szCs w:val="24"/>
        </w:rPr>
        <w:t>Sidaar Tanker Corporation</w:t>
      </w:r>
      <w:r>
        <w:rPr>
          <w:rFonts w:ascii="Miriam" w:hAnsi="Miriam" w:cs="Miriam"/>
          <w:spacing w:val="6"/>
          <w:sz w:val="24"/>
          <w:szCs w:val="24"/>
          <w:rtl/>
        </w:rPr>
        <w:t xml:space="preserve"> נ' חברת קו צינור אילת אשקלון בע"מ, פ"ד לט(1) 393 (1985)</w:t>
      </w:r>
      <w:r>
        <w:rPr>
          <w:rFonts w:ascii="David" w:hAnsi="David" w:cs="David"/>
          <w:spacing w:val="6"/>
          <w:sz w:val="24"/>
          <w:szCs w:val="24"/>
          <w:rtl/>
        </w:rPr>
        <w:t xml:space="preserve">]. </w:t>
      </w:r>
    </w:p>
    <w:p w:rsidR="00A76863" w:rsidRDefault="00A76863" w:rsidP="00A76863">
      <w:pPr>
        <w:pStyle w:val="2"/>
        <w:spacing w:line="306" w:lineRule="exact"/>
        <w:rPr>
          <w:b/>
          <w:bCs/>
          <w:spacing w:val="6"/>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סעיף 2 ל</w:t>
      </w:r>
      <w:r>
        <w:rPr>
          <w:rFonts w:ascii="Miriam" w:hAnsi="Miriam" w:cs="Miriam"/>
          <w:spacing w:val="6"/>
          <w:sz w:val="24"/>
          <w:szCs w:val="24"/>
          <w:rtl/>
        </w:rPr>
        <w:t>חוק יסוד: כבוד האדם וחירותו</w:t>
      </w:r>
      <w:r>
        <w:rPr>
          <w:rFonts w:cs="David"/>
          <w:spacing w:val="6"/>
          <w:sz w:val="24"/>
          <w:szCs w:val="24"/>
          <w:rtl/>
        </w:rPr>
        <w:t xml:space="preserve"> (להלן – </w:t>
      </w:r>
      <w:r>
        <w:rPr>
          <w:rFonts w:cs="David"/>
          <w:b/>
          <w:bCs/>
          <w:spacing w:val="6"/>
          <w:sz w:val="24"/>
          <w:szCs w:val="24"/>
          <w:rtl/>
        </w:rPr>
        <w:t>חוק היסוד</w:t>
      </w:r>
      <w:r>
        <w:rPr>
          <w:rFonts w:cs="David"/>
          <w:spacing w:val="6"/>
          <w:sz w:val="24"/>
          <w:szCs w:val="24"/>
          <w:rtl/>
        </w:rPr>
        <w:t>), אשר כותרתו "</w:t>
      </w:r>
      <w:r>
        <w:rPr>
          <w:rFonts w:ascii="Miriam" w:hAnsi="Miriam" w:cs="Miriam"/>
          <w:spacing w:val="6"/>
          <w:sz w:val="24"/>
          <w:szCs w:val="24"/>
          <w:rtl/>
        </w:rPr>
        <w:t>שמירה על החיים, הגוף והכבוד</w:t>
      </w:r>
      <w:r>
        <w:rPr>
          <w:rFonts w:cs="David"/>
          <w:spacing w:val="6"/>
          <w:sz w:val="24"/>
          <w:szCs w:val="24"/>
          <w:rtl/>
        </w:rPr>
        <w:t>", קובע, כי "</w:t>
      </w:r>
      <w:r>
        <w:rPr>
          <w:rFonts w:ascii="Miriam" w:hAnsi="Miriam" w:cs="Miriam"/>
          <w:spacing w:val="6"/>
          <w:sz w:val="24"/>
          <w:szCs w:val="24"/>
          <w:rtl/>
        </w:rPr>
        <w:t>אין פוגעים בחייו, בגופו, או בכבודו של אדם באשר הוא אדם</w:t>
      </w:r>
      <w:r>
        <w:rPr>
          <w:rFonts w:cs="David"/>
          <w:spacing w:val="6"/>
          <w:sz w:val="24"/>
          <w:szCs w:val="24"/>
          <w:rtl/>
        </w:rPr>
        <w:t>"; סעיף 5 לחוק היסוד, אשר כותרתו "</w:t>
      </w:r>
      <w:r>
        <w:rPr>
          <w:rFonts w:ascii="Miriam" w:hAnsi="Miriam" w:cs="Miriam"/>
          <w:spacing w:val="6"/>
          <w:sz w:val="24"/>
          <w:szCs w:val="24"/>
          <w:rtl/>
        </w:rPr>
        <w:t>חירות אישית</w:t>
      </w:r>
      <w:r>
        <w:rPr>
          <w:rFonts w:cs="David"/>
          <w:spacing w:val="6"/>
          <w:sz w:val="24"/>
          <w:szCs w:val="24"/>
          <w:rtl/>
        </w:rPr>
        <w:t>" קובע כי: "</w:t>
      </w:r>
      <w:r>
        <w:rPr>
          <w:rFonts w:ascii="Miriam" w:hAnsi="Miriam" w:cs="Miriam"/>
          <w:spacing w:val="6"/>
          <w:sz w:val="24"/>
          <w:szCs w:val="24"/>
          <w:rtl/>
        </w:rPr>
        <w:t>אין נוטלים ואין מגבילים את חירותו של אדם במאסר, במעצר, בהסגרה או בכל דרך אחרת</w:t>
      </w:r>
      <w:r>
        <w:rPr>
          <w:rFonts w:cs="David"/>
          <w:spacing w:val="6"/>
          <w:sz w:val="24"/>
          <w:szCs w:val="24"/>
          <w:rtl/>
        </w:rPr>
        <w:t>".</w:t>
      </w:r>
    </w:p>
    <w:p w:rsidR="00A76863" w:rsidRDefault="00A76863" w:rsidP="00A76863">
      <w:pPr>
        <w:pStyle w:val="ad"/>
        <w:spacing w:after="0" w:line="306" w:lineRule="exact"/>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אין ספק כי סרבנות גט מהווה פגיעה בערכים הנ"ל המוגנים על ידי חוק היסוד: </w:t>
      </w:r>
    </w:p>
    <w:p w:rsidR="00A76863" w:rsidRDefault="00A76863" w:rsidP="00A76863">
      <w:pPr>
        <w:pStyle w:val="ad"/>
        <w:spacing w:after="0" w:line="306" w:lineRule="exact"/>
        <w:rPr>
          <w:rFonts w:cs="David"/>
          <w:spacing w:val="6"/>
          <w:sz w:val="24"/>
          <w:szCs w:val="24"/>
        </w:rPr>
      </w:pPr>
    </w:p>
    <w:p w:rsidR="00A76863" w:rsidRDefault="00A76863" w:rsidP="00A76863">
      <w:pPr>
        <w:pStyle w:val="1"/>
        <w:spacing w:after="0" w:line="306" w:lineRule="exact"/>
        <w:rPr>
          <w:rFonts w:ascii="Miriam" w:hAnsi="Miriam" w:cs="Miriam"/>
          <w:b w:val="0"/>
          <w:spacing w:val="6"/>
          <w:szCs w:val="24"/>
          <w:rtl/>
        </w:rPr>
      </w:pPr>
      <w:r>
        <w:rPr>
          <w:rFonts w:ascii="David" w:hAnsi="David" w:cs="David"/>
          <w:b w:val="0"/>
          <w:spacing w:val="6"/>
          <w:szCs w:val="24"/>
          <w:rtl/>
        </w:rPr>
        <w:t>"</w:t>
      </w:r>
      <w:r>
        <w:rPr>
          <w:rFonts w:ascii="Miriam" w:hAnsi="Miriam" w:cs="Miriam"/>
          <w:b w:val="0"/>
          <w:spacing w:val="6"/>
          <w:szCs w:val="24"/>
          <w:rtl/>
        </w:rPr>
        <w:t xml:space="preserve">תופעת סרבנות הגט היא קשה ומורכבת ולצערנו אינה חדשה לנו. היא כרוכה בפגיעה קשה וכואבת באישה הנותרת כבולה לנישואין שאין היא מעוניינת בהם עוד: חירותה נפגעת, כבודה ורגשותיה נפגעים וזכותה לחיי משפחה נפגעת גם היא - זכויות אלו הוכרו בשיטתנו כולן כזכויות הנהנות ממעמד חוקתי וראשון במעלה... </w:t>
      </w:r>
    </w:p>
    <w:p w:rsidR="006A6906" w:rsidRDefault="006A6906" w:rsidP="00A76863">
      <w:pPr>
        <w:pStyle w:val="1"/>
        <w:spacing w:after="0" w:line="306" w:lineRule="exact"/>
        <w:rPr>
          <w:rFonts w:ascii="Miriam" w:hAnsi="Miriam" w:cs="Miriam"/>
          <w:b w:val="0"/>
          <w:spacing w:val="6"/>
          <w:szCs w:val="24"/>
          <w:rtl/>
        </w:rPr>
      </w:pPr>
    </w:p>
    <w:p w:rsidR="00A76863" w:rsidRDefault="00A76863" w:rsidP="00A76863">
      <w:pPr>
        <w:pStyle w:val="1"/>
        <w:spacing w:after="0" w:line="306" w:lineRule="exact"/>
        <w:rPr>
          <w:rFonts w:ascii="Miriam" w:hAnsi="Miriam" w:cs="Miriam"/>
          <w:b w:val="0"/>
          <w:spacing w:val="6"/>
          <w:szCs w:val="24"/>
          <w:rtl/>
        </w:rPr>
      </w:pPr>
      <w:r>
        <w:rPr>
          <w:rFonts w:ascii="Miriam" w:hAnsi="Miriam" w:cs="Miriam"/>
          <w:b w:val="0"/>
          <w:spacing w:val="6"/>
          <w:szCs w:val="24"/>
          <w:rtl/>
        </w:rPr>
        <w:t xml:space="preserve">בתוך כך נפגעת גם זכותה של האישה לאוטונומיה, זכותה של האישה להגשים עצמה כאדם חופשי, זכותה לבחור את גורלה, לכתוב את סיפור חייה - להחליט, היא ורק היא, האם ומתי יבוא על סיומו קשר נישואין שאין היא רוצה בו עוד והאם ומתי תבחר לקשור עצמה בקשר כזה בשנית. ויפים בהקשר זה הדברים הבאים, הגם שנאמרו בהקשר שונה ואחר מזה שבענייננו: </w:t>
      </w:r>
    </w:p>
    <w:p w:rsidR="00A76863" w:rsidRDefault="00A76863" w:rsidP="00A63D60">
      <w:pPr>
        <w:pStyle w:val="1"/>
        <w:spacing w:after="0" w:line="306" w:lineRule="exact"/>
        <w:rPr>
          <w:rFonts w:ascii="David" w:hAnsi="David" w:cs="David"/>
          <w:b w:val="0"/>
          <w:spacing w:val="6"/>
          <w:szCs w:val="24"/>
          <w:rtl/>
          <w:lang w:val="en-US"/>
        </w:rPr>
      </w:pPr>
      <w:r>
        <w:rPr>
          <w:rFonts w:ascii="Miriam" w:hAnsi="Miriam" w:cs="Miriam"/>
          <w:b w:val="0"/>
          <w:spacing w:val="6"/>
          <w:szCs w:val="24"/>
          <w:rtl/>
        </w:rPr>
        <w:t xml:space="preserve">"כל אשה, כל אדם, זכאים לכתוב את סיפור חייהם כרצונם ועל-פי בחירתם - כל עוד אין הם פולשים לתחומו של הזולת - והיא האוטונומיה של הרצון החופשי. כי ייכפה על אדם ללכת בדרך שלא איווה ללכת בה, תיפגע האוטונומיה של רצונו החופשי. אכן, זה גורלנו, גורל האדם, שעושים וחדלים אנו כל העת שלא-מרצון חופשי, ועל דרך זו נמצאת האוטונומיה של רצוננו חסרה. </w:t>
      </w:r>
      <w:r>
        <w:rPr>
          <w:rFonts w:ascii="Miriam" w:hAnsi="Miriam" w:cs="Miriam"/>
          <w:b w:val="0"/>
          <w:spacing w:val="6"/>
          <w:szCs w:val="24"/>
          <w:rtl/>
        </w:rPr>
        <w:lastRenderedPageBreak/>
        <w:t xml:space="preserve">ואולם במקום שהפגיעה באוטונומיה של הרצון החופשי פגיעה עמוקה היא, או-אז יתערב המשפט ויאמר את דברו... </w:t>
      </w:r>
      <w:r>
        <w:rPr>
          <w:rFonts w:ascii="Miriam" w:hAnsi="Miriam" w:cs="Miriam"/>
          <w:spacing w:val="6"/>
          <w:szCs w:val="24"/>
          <w:rtl/>
        </w:rPr>
        <w:t>האוטונומיה של הרצון החופשי נגזרת מתוך כבוד האדם והיא בתשתית חשיבתנו המשפטית</w:t>
      </w:r>
      <w:r>
        <w:rPr>
          <w:rFonts w:ascii="David" w:hAnsi="David" w:cs="David"/>
          <w:spacing w:val="6"/>
          <w:szCs w:val="24"/>
          <w:rtl/>
        </w:rPr>
        <w:t>"</w:t>
      </w:r>
      <w:r w:rsidR="00A63D60">
        <w:rPr>
          <w:rFonts w:ascii="David" w:hAnsi="David" w:cs="David" w:hint="cs"/>
          <w:spacing w:val="6"/>
          <w:szCs w:val="24"/>
          <w:rtl/>
        </w:rPr>
        <w:t xml:space="preserve"> </w:t>
      </w:r>
      <w:r>
        <w:rPr>
          <w:rFonts w:ascii="David" w:hAnsi="David" w:cs="David"/>
          <w:spacing w:val="6"/>
          <w:szCs w:val="24"/>
          <w:rtl/>
        </w:rPr>
        <w:t>[</w:t>
      </w:r>
      <w:r>
        <w:rPr>
          <w:rFonts w:ascii="Miriam" w:hAnsi="Miriam" w:cs="Miriam"/>
          <w:spacing w:val="6"/>
          <w:szCs w:val="24"/>
          <w:rtl/>
        </w:rPr>
        <w:t>בג"ץ 2123/08 פלוני נ' פלונית (6.7.2008)</w:t>
      </w:r>
      <w:r>
        <w:rPr>
          <w:rFonts w:ascii="David" w:hAnsi="David" w:cs="David"/>
          <w:spacing w:val="6"/>
          <w:szCs w:val="24"/>
          <w:rtl/>
        </w:rPr>
        <w:t>].</w:t>
      </w:r>
    </w:p>
    <w:p w:rsidR="00A76863" w:rsidRDefault="00A76863" w:rsidP="00A76863">
      <w:pPr>
        <w:pStyle w:val="ad"/>
        <w:spacing w:after="0" w:line="306" w:lineRule="exact"/>
        <w:rPr>
          <w:rFonts w:cs="David"/>
          <w:spacing w:val="6"/>
          <w:sz w:val="24"/>
          <w:szCs w:val="24"/>
          <w:rtl/>
        </w:rPr>
      </w:pPr>
    </w:p>
    <w:p w:rsidR="00A76863" w:rsidRDefault="00A76863" w:rsidP="00A63D60">
      <w:pPr>
        <w:pStyle w:val="1"/>
        <w:spacing w:after="0" w:line="306" w:lineRule="exact"/>
        <w:rPr>
          <w:rFonts w:ascii="Miriam" w:hAnsi="Miriam" w:cs="Miriam"/>
          <w:b w:val="0"/>
          <w:spacing w:val="6"/>
          <w:szCs w:val="24"/>
          <w:rtl/>
        </w:rPr>
      </w:pPr>
      <w:r>
        <w:rPr>
          <w:rFonts w:ascii="David" w:hAnsi="David" w:cs="David"/>
          <w:b w:val="0"/>
          <w:spacing w:val="6"/>
          <w:szCs w:val="24"/>
          <w:rtl/>
        </w:rPr>
        <w:t>"</w:t>
      </w:r>
      <w:r>
        <w:rPr>
          <w:rFonts w:ascii="Miriam" w:hAnsi="Miriam" w:cs="Miriam"/>
          <w:b w:val="0"/>
          <w:spacing w:val="6"/>
          <w:szCs w:val="24"/>
          <w:rtl/>
        </w:rPr>
        <w:t>זכותה של אישה לקבוע לעצמה מתי ברצונה לנתק קשרי נישואין ומתי ברצונה להתחתן מחדש. רצונה 'לכתוב את סיפור חייה' כרצונה ועל פי בחירתה הינו זכות יסוד אשר ודאי תמצא את מקומה בזכות המסגרת האמורה. שאיפתה של האישה הרוצה בגירושין להגשים את הוויתה האישית כאדם חופשי הקובע את גורלו, ראויה לכל הגנה כחלק בלתי נפרד מכבודה כאדם...</w:t>
      </w:r>
      <w:r>
        <w:rPr>
          <w:rFonts w:ascii="David" w:hAnsi="David" w:cs="David"/>
          <w:b w:val="0"/>
          <w:spacing w:val="6"/>
          <w:szCs w:val="24"/>
          <w:rtl/>
        </w:rPr>
        <w:t>" [</w:t>
      </w:r>
      <w:r>
        <w:rPr>
          <w:rFonts w:ascii="Miriam" w:hAnsi="Miriam" w:cs="Miriam"/>
          <w:b w:val="0"/>
          <w:spacing w:val="6"/>
          <w:szCs w:val="24"/>
          <w:rtl/>
        </w:rPr>
        <w:t>תמ"ש (י-ם) 3950/00 פלונית נ' פלוני ואח' (23.1.2001)</w:t>
      </w:r>
      <w:r>
        <w:rPr>
          <w:rFonts w:ascii="David" w:hAnsi="David" w:cs="David"/>
          <w:b w:val="0"/>
          <w:spacing w:val="6"/>
          <w:szCs w:val="24"/>
          <w:rtl/>
        </w:rPr>
        <w:t>].</w:t>
      </w:r>
    </w:p>
    <w:p w:rsidR="00A76863" w:rsidRDefault="00A76863" w:rsidP="00A76863">
      <w:pPr>
        <w:pStyle w:val="ad"/>
        <w:spacing w:after="0" w:line="306" w:lineRule="exact"/>
        <w:ind w:left="509"/>
        <w:jc w:val="both"/>
        <w:rPr>
          <w:rFonts w:cs="David"/>
          <w:spacing w:val="6"/>
          <w:sz w:val="24"/>
          <w:szCs w:val="24"/>
          <w:rtl/>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ascii="David" w:hAnsi="David" w:cs="David"/>
          <w:spacing w:val="6"/>
          <w:sz w:val="24"/>
          <w:szCs w:val="24"/>
          <w:rtl/>
        </w:rPr>
        <w:t>עם זאת, בפסיקה נקבע, כי לא די בקביעה כי בסרבנותו גרם הנתבע לפגיעה מתמשכת בכבודה וחירותה של התובעת – אלא יש לבחון את יסודות העילה, אשר יסודותיה פורטו מעלה ואת השאלה האם ראוי לעשות שימוש בעוולה זו במסגרת החיקוק הספציפי</w:t>
      </w:r>
      <w:r>
        <w:rPr>
          <w:rFonts w:cs="David"/>
          <w:spacing w:val="6"/>
          <w:sz w:val="24"/>
          <w:szCs w:val="24"/>
          <w:rtl/>
        </w:rPr>
        <w:t xml:space="preserve"> [</w:t>
      </w:r>
      <w:r>
        <w:rPr>
          <w:rFonts w:ascii="Miriam" w:hAnsi="Miriam" w:cs="Miriam"/>
          <w:spacing w:val="6"/>
          <w:sz w:val="24"/>
          <w:szCs w:val="24"/>
          <w:rtl/>
        </w:rPr>
        <w:t>תמ"ש (ת"א) 24782/98 נ.ש נ' נ.י (14.12.2008)</w:t>
      </w:r>
      <w:r>
        <w:rPr>
          <w:rFonts w:cs="David"/>
          <w:spacing w:val="6"/>
          <w:sz w:val="24"/>
          <w:szCs w:val="24"/>
          <w:rtl/>
        </w:rPr>
        <w:t>].</w:t>
      </w:r>
    </w:p>
    <w:p w:rsidR="00A76863" w:rsidRDefault="00A76863" w:rsidP="00A76863">
      <w:pPr>
        <w:pStyle w:val="ad"/>
        <w:spacing w:after="0" w:line="306" w:lineRule="exact"/>
        <w:ind w:left="509"/>
        <w:jc w:val="both"/>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spacing w:val="6"/>
          <w:sz w:val="24"/>
          <w:szCs w:val="24"/>
          <w:rtl/>
        </w:rPr>
        <w:t xml:space="preserve">יתרה מכך, נקבע, כי למרות שסרבנות גט מהווה פגיעה בערכים המוגנים בחוק </w:t>
      </w:r>
      <w:r w:rsidR="00A63D60">
        <w:rPr>
          <w:rFonts w:cs="David" w:hint="cs"/>
          <w:spacing w:val="6"/>
          <w:sz w:val="24"/>
          <w:szCs w:val="24"/>
          <w:rtl/>
        </w:rPr>
        <w:t>ה</w:t>
      </w:r>
      <w:r>
        <w:rPr>
          <w:rFonts w:cs="David"/>
          <w:spacing w:val="6"/>
          <w:sz w:val="24"/>
          <w:szCs w:val="24"/>
          <w:rtl/>
        </w:rPr>
        <w:t>יסוד לא ניתן להכיר בעוולת הפרת חובה חקוקה כבסיס לפסיקת פיצוי בתביעת עגינות שכן הכרה בקיום עילות תביעה חוקתיות בין פרטים (להבדיל מתביעה שבין פרט לרשות שלטונית) מעוררת שלל קשיים ושאלות שטרם זכו לליבון ודיון בפסיקה ועל כן, "</w:t>
      </w:r>
      <w:r>
        <w:rPr>
          <w:rFonts w:ascii="Miriam" w:hAnsi="Miriam" w:cs="Miriam"/>
          <w:spacing w:val="6"/>
          <w:sz w:val="24"/>
          <w:szCs w:val="24"/>
          <w:rtl/>
        </w:rPr>
        <w:t>לפי שעה, הדרך להכרה בעוולה חוקתית כזו, ביחסים שבין שני פרטים – עדיין רחוקה...</w:t>
      </w:r>
      <w:r>
        <w:rPr>
          <w:rFonts w:cs="David"/>
          <w:spacing w:val="6"/>
          <w:sz w:val="24"/>
          <w:szCs w:val="24"/>
          <w:rtl/>
        </w:rPr>
        <w:t>"; עם זאת, "...</w:t>
      </w:r>
      <w:r>
        <w:rPr>
          <w:rFonts w:ascii="Miriam" w:hAnsi="Miriam" w:cs="Miriam"/>
          <w:spacing w:val="6"/>
          <w:sz w:val="24"/>
          <w:szCs w:val="24"/>
          <w:rtl/>
        </w:rPr>
        <w:t>הזכויות המוגנות בחוק יסוד כבוד האדם וחירותו, יכולות לשמש בשלב זה ככלי מכוון ומנחה בפרשנות וניתוח העוולות הקיימות</w:t>
      </w:r>
      <w:r>
        <w:rPr>
          <w:rFonts w:cs="David"/>
          <w:spacing w:val="6"/>
          <w:sz w:val="24"/>
          <w:szCs w:val="24"/>
          <w:rtl/>
        </w:rPr>
        <w:t>" [</w:t>
      </w:r>
      <w:r>
        <w:rPr>
          <w:rFonts w:ascii="Miriam" w:hAnsi="Miriam" w:cs="Miriam"/>
          <w:spacing w:val="6"/>
          <w:sz w:val="24"/>
          <w:szCs w:val="24"/>
          <w:rtl/>
        </w:rPr>
        <w:t>תמ"ש (י-ם) 19270/03 כ.ש נ' כ.פ (21.12.2004)</w:t>
      </w:r>
      <w:r>
        <w:rPr>
          <w:rFonts w:cs="David"/>
          <w:spacing w:val="6"/>
          <w:sz w:val="24"/>
          <w:szCs w:val="24"/>
          <w:rtl/>
        </w:rPr>
        <w:t xml:space="preserve">]. </w:t>
      </w:r>
    </w:p>
    <w:p w:rsidR="00A76863" w:rsidRDefault="00A76863" w:rsidP="00A76863">
      <w:pPr>
        <w:pStyle w:val="ad"/>
        <w:spacing w:after="0" w:line="306" w:lineRule="exact"/>
        <w:rPr>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spacing w:val="6"/>
          <w:sz w:val="24"/>
          <w:szCs w:val="24"/>
          <w:rtl/>
        </w:rPr>
        <w:t>מנגד, קיימת פסיקה האוחזת בעמדה שונה המכירה באפשרות של אדם פרטי לתבוע פיצויים בגין פגיעה בזכויות יסוד [</w:t>
      </w:r>
      <w:r>
        <w:rPr>
          <w:rFonts w:ascii="Miriam" w:hAnsi="Miriam" w:cs="Miriam"/>
          <w:spacing w:val="6"/>
          <w:sz w:val="24"/>
          <w:szCs w:val="24"/>
          <w:rtl/>
        </w:rPr>
        <w:t>תמ"ש (י-ם) 6743/02 כ' נ' כ' (21.7.2008); תמ"ש (רשל"צ) 30560/07 ה.נ' ה.א (2.12.2008</w:t>
      </w:r>
      <w:r w:rsidR="00A63D60">
        <w:rPr>
          <w:rFonts w:ascii="Miriam" w:hAnsi="Miriam" w:cs="Miriam" w:hint="cs"/>
          <w:spacing w:val="6"/>
          <w:sz w:val="24"/>
          <w:szCs w:val="24"/>
          <w:rtl/>
        </w:rPr>
        <w:t>)</w:t>
      </w:r>
      <w:r>
        <w:rPr>
          <w:rFonts w:ascii="Miriam" w:hAnsi="Miriam" w:cs="Miriam"/>
          <w:spacing w:val="6"/>
          <w:sz w:val="24"/>
          <w:szCs w:val="24"/>
          <w:rtl/>
        </w:rPr>
        <w:t xml:space="preserve">; תמ"ש (י-ם) </w:t>
      </w:r>
      <w:r>
        <w:rPr>
          <w:rFonts w:ascii="Miriam" w:hAnsi="Miriam" w:cs="Miriam"/>
          <w:b/>
          <w:spacing w:val="6"/>
          <w:sz w:val="24"/>
          <w:szCs w:val="24"/>
          <w:rtl/>
        </w:rPr>
        <w:t>3950/00 פלונית נ' פלוני ואח' (23.1.2001)</w:t>
      </w:r>
      <w:r>
        <w:rPr>
          <w:rFonts w:cs="David"/>
          <w:spacing w:val="6"/>
          <w:sz w:val="24"/>
          <w:szCs w:val="24"/>
          <w:rtl/>
        </w:rPr>
        <w:t>]; ומקובלת עליי עמדה זו.</w:t>
      </w:r>
    </w:p>
    <w:p w:rsidR="00A76863" w:rsidRDefault="00A76863" w:rsidP="00A76863">
      <w:pPr>
        <w:pStyle w:val="ad"/>
        <w:spacing w:after="0" w:line="306" w:lineRule="exact"/>
        <w:rPr>
          <w:rFonts w:cs="David"/>
          <w:spacing w:val="6"/>
          <w:sz w:val="24"/>
          <w:szCs w:val="24"/>
        </w:rPr>
      </w:pPr>
    </w:p>
    <w:p w:rsidR="00A76863" w:rsidRDefault="00A76863" w:rsidP="00A63D60">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דעתי היא כי סרבנות גט בגינה נמנע מאישה להתנתק מקשר נישואין שאינה חפצה בו, לבחור בן זוג ולנהל חיי משפחה תקינים, עולה כדי פגיעה בזכויות היסוד שלה – באוטונומיה שלה </w:t>
      </w:r>
      <w:r w:rsidR="00A63D60">
        <w:rPr>
          <w:rFonts w:ascii="David" w:hAnsi="David" w:cs="David" w:hint="cs"/>
          <w:spacing w:val="6"/>
          <w:sz w:val="24"/>
          <w:szCs w:val="24"/>
          <w:rtl/>
        </w:rPr>
        <w:t xml:space="preserve">וביכולתה </w:t>
      </w:r>
      <w:r>
        <w:rPr>
          <w:rFonts w:ascii="David" w:hAnsi="David" w:cs="David"/>
          <w:spacing w:val="6"/>
          <w:sz w:val="24"/>
          <w:szCs w:val="24"/>
          <w:rtl/>
        </w:rPr>
        <w:t xml:space="preserve">לנהל אורח חיים תקין בהתאם למאוויה, להתנהל במהלך חייה כפי רצונה ובהתאם לשאיפותיה, לנהל חיי משפחה ולגדל ילדים באורח תקין, וכן פוגעת פגיעה קשה ברגשותיה ובזכותה שלא להיות משועבדת לכפייה שרירותית מצד הנתבע. התנהגות זו הינה בבחינת הפרה ברורה של חוק </w:t>
      </w:r>
      <w:r w:rsidR="00A63D60">
        <w:rPr>
          <w:rFonts w:ascii="David" w:hAnsi="David" w:cs="David" w:hint="cs"/>
          <w:spacing w:val="6"/>
          <w:sz w:val="24"/>
          <w:szCs w:val="24"/>
          <w:rtl/>
        </w:rPr>
        <w:t>ה</w:t>
      </w:r>
      <w:r>
        <w:rPr>
          <w:rFonts w:ascii="David" w:hAnsi="David" w:cs="David"/>
          <w:spacing w:val="6"/>
          <w:sz w:val="24"/>
          <w:szCs w:val="24"/>
          <w:rtl/>
        </w:rPr>
        <w:t>יסוד, ויש בה, לפיכך, כדי לזכות את התובעת בפיצויים.</w:t>
      </w:r>
    </w:p>
    <w:p w:rsidR="00A76863" w:rsidRDefault="00A76863" w:rsidP="00A76863">
      <w:pPr>
        <w:pStyle w:val="Style1"/>
        <w:numPr>
          <w:ilvl w:val="0"/>
          <w:numId w:val="0"/>
        </w:numPr>
        <w:spacing w:after="0" w:line="306" w:lineRule="exact"/>
        <w:ind w:left="84"/>
        <w:rPr>
          <w:b/>
          <w:bCs/>
          <w:spacing w:val="6"/>
          <w:u w:val="thick"/>
          <w:rtl/>
        </w:rPr>
      </w:pPr>
    </w:p>
    <w:p w:rsidR="006A6906" w:rsidRDefault="006A6906" w:rsidP="00A76863">
      <w:pPr>
        <w:pStyle w:val="Style1"/>
        <w:numPr>
          <w:ilvl w:val="0"/>
          <w:numId w:val="0"/>
        </w:numPr>
        <w:spacing w:after="0" w:line="306" w:lineRule="exact"/>
        <w:ind w:left="84"/>
        <w:rPr>
          <w:b/>
          <w:bCs/>
          <w:spacing w:val="6"/>
          <w:u w:val="thick"/>
          <w:rtl/>
        </w:rPr>
      </w:pPr>
    </w:p>
    <w:p w:rsidR="00A76863" w:rsidRDefault="00A76863" w:rsidP="00A76863">
      <w:pPr>
        <w:pStyle w:val="Style1"/>
        <w:numPr>
          <w:ilvl w:val="0"/>
          <w:numId w:val="0"/>
        </w:numPr>
        <w:spacing w:after="0" w:line="306" w:lineRule="exact"/>
        <w:ind w:left="84"/>
        <w:rPr>
          <w:b/>
          <w:bCs/>
          <w:spacing w:val="6"/>
          <w:u w:val="thick"/>
          <w:rtl/>
        </w:rPr>
      </w:pPr>
      <w:r>
        <w:rPr>
          <w:rFonts w:hint="cs"/>
          <w:b/>
          <w:bCs/>
          <w:spacing w:val="6"/>
          <w:u w:val="thick"/>
          <w:rtl/>
        </w:rPr>
        <w:lastRenderedPageBreak/>
        <w:t>עוולת הרשלנות</w:t>
      </w:r>
    </w:p>
    <w:p w:rsidR="00A76863" w:rsidRDefault="00A76863" w:rsidP="00A76863">
      <w:pPr>
        <w:pStyle w:val="Style1"/>
        <w:numPr>
          <w:ilvl w:val="0"/>
          <w:numId w:val="0"/>
        </w:numPr>
        <w:spacing w:after="0" w:line="306" w:lineRule="exact"/>
        <w:ind w:left="84"/>
        <w:rPr>
          <w:b/>
          <w:bCs/>
          <w:spacing w:val="6"/>
          <w:u w:val="single"/>
          <w:rtl/>
        </w:rPr>
      </w:pPr>
    </w:p>
    <w:p w:rsidR="00A76863" w:rsidRDefault="00A76863" w:rsidP="006A6906">
      <w:pPr>
        <w:pStyle w:val="ad"/>
        <w:numPr>
          <w:ilvl w:val="0"/>
          <w:numId w:val="2"/>
        </w:numPr>
        <w:spacing w:after="0" w:line="306" w:lineRule="exact"/>
        <w:ind w:left="509"/>
        <w:jc w:val="both"/>
        <w:rPr>
          <w:rFonts w:cs="David"/>
          <w:spacing w:val="6"/>
          <w:sz w:val="24"/>
          <w:szCs w:val="24"/>
        </w:rPr>
      </w:pPr>
      <w:r>
        <w:rPr>
          <w:rFonts w:cs="David"/>
          <w:spacing w:val="6"/>
          <w:sz w:val="24"/>
          <w:szCs w:val="24"/>
          <w:rtl/>
        </w:rPr>
        <w:t xml:space="preserve">סעיף 35 לפקודת הנזיקין </w:t>
      </w:r>
      <w:r w:rsidR="006A6906">
        <w:rPr>
          <w:rFonts w:cs="David" w:hint="cs"/>
          <w:spacing w:val="6"/>
          <w:sz w:val="24"/>
          <w:szCs w:val="24"/>
          <w:rtl/>
        </w:rPr>
        <w:t>קובע</w:t>
      </w:r>
      <w:r>
        <w:rPr>
          <w:rFonts w:cs="David"/>
          <w:spacing w:val="6"/>
          <w:sz w:val="24"/>
          <w:szCs w:val="24"/>
          <w:rtl/>
        </w:rPr>
        <w:t xml:space="preserve"> כדלקמן:</w:t>
      </w:r>
    </w:p>
    <w:p w:rsidR="00A76863" w:rsidRDefault="00A76863" w:rsidP="00A76863">
      <w:pPr>
        <w:pStyle w:val="ad"/>
        <w:spacing w:after="0" w:line="306" w:lineRule="exact"/>
        <w:ind w:left="509"/>
        <w:jc w:val="both"/>
        <w:rPr>
          <w:rFonts w:cs="David"/>
          <w:spacing w:val="6"/>
          <w:sz w:val="24"/>
          <w:szCs w:val="24"/>
        </w:rPr>
      </w:pPr>
    </w:p>
    <w:p w:rsidR="00A76863" w:rsidRDefault="00A76863" w:rsidP="00A76863">
      <w:pPr>
        <w:pStyle w:val="1"/>
        <w:spacing w:after="0" w:line="306" w:lineRule="exact"/>
        <w:rPr>
          <w:rFonts w:cs="David"/>
          <w:spacing w:val="6"/>
          <w:szCs w:val="24"/>
          <w:rtl/>
        </w:rPr>
      </w:pPr>
      <w:r>
        <w:rPr>
          <w:rFonts w:cs="David"/>
          <w:spacing w:val="6"/>
          <w:szCs w:val="24"/>
          <w:rtl/>
        </w:rPr>
        <w:t>"</w:t>
      </w:r>
      <w:r>
        <w:rPr>
          <w:rFonts w:ascii="Miriam" w:hAnsi="Miriam" w:cs="Miriam"/>
          <w:spacing w:val="6"/>
          <w:szCs w:val="24"/>
          <w:rtl/>
        </w:rPr>
        <w:t>עשה אדם מעשה שאדם סביר ונבון לא היה עושה באותן נסיבות, או לא עשה מעשה שאדם סביר ונבון היה עושה באותן נסיבות, או שבמשלח יד פלוני לא השתמש במיומנות, או לא נקט מידת זהירות, שאדם סביר ונבון וכשיר לפעול באותו משלח יד היה משתמש או נוקט באותן נסיבות - הרי זו התרשלות; ואם התרשל כאמור ביחס לאדם אחר, שלגביו יש לו באותן נסיבות חובה שלא לנהוג כפי שנהג, הרי זו רשלנות, והגורם ברשלנותו נזק לזולתו עושה עוולה</w:t>
      </w:r>
      <w:r>
        <w:rPr>
          <w:rFonts w:cs="David"/>
          <w:spacing w:val="6"/>
          <w:szCs w:val="24"/>
          <w:rtl/>
        </w:rPr>
        <w:t>".</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BE2AB3">
      <w:pPr>
        <w:pStyle w:val="ad"/>
        <w:numPr>
          <w:ilvl w:val="0"/>
          <w:numId w:val="2"/>
        </w:numPr>
        <w:spacing w:after="0" w:line="306" w:lineRule="exact"/>
        <w:ind w:left="509"/>
        <w:jc w:val="both"/>
        <w:rPr>
          <w:rFonts w:ascii="David" w:hAnsi="David" w:cs="David"/>
          <w:spacing w:val="6"/>
          <w:sz w:val="24"/>
          <w:szCs w:val="24"/>
        </w:rPr>
      </w:pPr>
      <w:r>
        <w:rPr>
          <w:rFonts w:cs="David"/>
          <w:spacing w:val="6"/>
          <w:sz w:val="24"/>
          <w:szCs w:val="24"/>
          <w:rtl/>
        </w:rPr>
        <w:t xml:space="preserve">ארבע יסודות עומדים בבסיס עוולת הרשלנות, כדלקמן: </w:t>
      </w:r>
    </w:p>
    <w:p w:rsidR="00A76863" w:rsidRPr="00BE2AB3" w:rsidRDefault="00A76863" w:rsidP="00A76863">
      <w:pPr>
        <w:pStyle w:val="ad"/>
        <w:spacing w:after="0" w:line="306" w:lineRule="exact"/>
        <w:ind w:left="509"/>
        <w:jc w:val="both"/>
        <w:rPr>
          <w:rFonts w:cs="David"/>
          <w:spacing w:val="6"/>
          <w:sz w:val="24"/>
          <w:szCs w:val="24"/>
        </w:rPr>
      </w:pPr>
    </w:p>
    <w:p w:rsidR="00A76863" w:rsidRDefault="00A76863" w:rsidP="00A76863">
      <w:pPr>
        <w:pStyle w:val="ad"/>
        <w:spacing w:after="0" w:line="306" w:lineRule="exact"/>
        <w:ind w:left="509"/>
        <w:jc w:val="both"/>
        <w:rPr>
          <w:rFonts w:cs="David"/>
          <w:b/>
          <w:bCs/>
          <w:spacing w:val="6"/>
          <w:sz w:val="24"/>
          <w:szCs w:val="24"/>
          <w:rtl/>
        </w:rPr>
      </w:pPr>
      <w:r>
        <w:rPr>
          <w:rFonts w:cs="David"/>
          <w:b/>
          <w:bCs/>
          <w:spacing w:val="6"/>
          <w:sz w:val="24"/>
          <w:szCs w:val="24"/>
          <w:rtl/>
        </w:rPr>
        <w:t>האחד</w:t>
      </w:r>
      <w:r>
        <w:rPr>
          <w:rFonts w:cs="David"/>
          <w:spacing w:val="6"/>
          <w:sz w:val="24"/>
          <w:szCs w:val="24"/>
          <w:rtl/>
        </w:rPr>
        <w:t xml:space="preserve">- </w:t>
      </w:r>
      <w:r>
        <w:rPr>
          <w:rFonts w:cs="David"/>
          <w:spacing w:val="6"/>
          <w:sz w:val="24"/>
          <w:szCs w:val="24"/>
          <w:rtl/>
        </w:rPr>
        <w:tab/>
      </w:r>
      <w:r>
        <w:rPr>
          <w:rFonts w:cs="David"/>
          <w:spacing w:val="6"/>
          <w:sz w:val="24"/>
          <w:szCs w:val="24"/>
          <w:u w:val="single"/>
          <w:rtl/>
        </w:rPr>
        <w:t>קיומה של חובת זהירות - מושגית וקונקרטית - שחב המעוול כלפי הניזוק</w:t>
      </w:r>
      <w:r>
        <w:rPr>
          <w:rFonts w:cs="David"/>
          <w:spacing w:val="6"/>
          <w:sz w:val="24"/>
          <w:szCs w:val="24"/>
          <w:rtl/>
        </w:rPr>
        <w:t>;</w:t>
      </w:r>
      <w:r>
        <w:rPr>
          <w:rFonts w:cs="David"/>
          <w:b/>
          <w:bCs/>
          <w:spacing w:val="6"/>
          <w:sz w:val="24"/>
          <w:szCs w:val="24"/>
          <w:rtl/>
        </w:rPr>
        <w:t xml:space="preserve"> </w:t>
      </w:r>
    </w:p>
    <w:p w:rsidR="00A76863" w:rsidRDefault="00A76863" w:rsidP="00A76863">
      <w:pPr>
        <w:pStyle w:val="ad"/>
        <w:spacing w:after="0" w:line="306" w:lineRule="exact"/>
        <w:ind w:left="509"/>
        <w:jc w:val="both"/>
        <w:rPr>
          <w:rFonts w:cs="David"/>
          <w:b/>
          <w:bCs/>
          <w:spacing w:val="6"/>
          <w:sz w:val="24"/>
          <w:szCs w:val="24"/>
          <w:rtl/>
        </w:rPr>
      </w:pPr>
    </w:p>
    <w:p w:rsidR="00A76863" w:rsidRDefault="00A76863" w:rsidP="00A76863">
      <w:pPr>
        <w:pStyle w:val="ad"/>
        <w:spacing w:after="0" w:line="306" w:lineRule="exact"/>
        <w:ind w:left="1440" w:hanging="931"/>
        <w:jc w:val="both"/>
        <w:rPr>
          <w:rFonts w:ascii="David" w:hAnsi="David" w:cs="David"/>
          <w:b/>
          <w:bCs/>
          <w:spacing w:val="6"/>
          <w:sz w:val="24"/>
          <w:szCs w:val="24"/>
          <w:rtl/>
        </w:rPr>
      </w:pPr>
      <w:r>
        <w:rPr>
          <w:rFonts w:cs="David"/>
          <w:b/>
          <w:bCs/>
          <w:spacing w:val="6"/>
          <w:sz w:val="24"/>
          <w:szCs w:val="24"/>
          <w:rtl/>
        </w:rPr>
        <w:t>השני</w:t>
      </w:r>
      <w:r>
        <w:rPr>
          <w:rFonts w:cs="David"/>
          <w:spacing w:val="6"/>
          <w:sz w:val="24"/>
          <w:szCs w:val="24"/>
          <w:rtl/>
        </w:rPr>
        <w:t xml:space="preserve">- </w:t>
      </w:r>
      <w:r>
        <w:rPr>
          <w:rFonts w:cs="David"/>
          <w:spacing w:val="6"/>
          <w:sz w:val="24"/>
          <w:szCs w:val="24"/>
          <w:rtl/>
        </w:rPr>
        <w:tab/>
      </w:r>
      <w:r>
        <w:rPr>
          <w:rFonts w:cs="David"/>
          <w:spacing w:val="6"/>
          <w:sz w:val="24"/>
          <w:szCs w:val="24"/>
          <w:u w:val="single"/>
          <w:rtl/>
        </w:rPr>
        <w:t xml:space="preserve">הפרת החובה (או ההתרשלות) המתבטאת בכישלונו של המעוול לנהוג באופן שהיה נוהג האדם הסביר </w:t>
      </w:r>
      <w:r>
        <w:rPr>
          <w:rFonts w:ascii="David" w:hAnsi="David" w:cs="David"/>
          <w:spacing w:val="6"/>
          <w:sz w:val="24"/>
          <w:szCs w:val="24"/>
          <w:u w:val="single"/>
          <w:rtl/>
        </w:rPr>
        <w:t>באותן נסיבות</w:t>
      </w:r>
      <w:r>
        <w:rPr>
          <w:rFonts w:ascii="David" w:hAnsi="David" w:cs="David"/>
          <w:spacing w:val="6"/>
          <w:sz w:val="24"/>
          <w:szCs w:val="24"/>
          <w:rtl/>
        </w:rPr>
        <w:t xml:space="preserve">; </w:t>
      </w:r>
    </w:p>
    <w:p w:rsidR="00A76863" w:rsidRDefault="00A76863" w:rsidP="00A76863">
      <w:pPr>
        <w:pStyle w:val="ad"/>
        <w:spacing w:after="0" w:line="306" w:lineRule="exact"/>
        <w:ind w:left="509"/>
        <w:jc w:val="both"/>
        <w:rPr>
          <w:rFonts w:ascii="David" w:hAnsi="David" w:cs="David"/>
          <w:b/>
          <w:bCs/>
          <w:spacing w:val="6"/>
          <w:sz w:val="24"/>
          <w:szCs w:val="24"/>
          <w:rtl/>
        </w:rPr>
      </w:pPr>
    </w:p>
    <w:p w:rsidR="00A76863" w:rsidRDefault="00A76863" w:rsidP="00A76863">
      <w:pPr>
        <w:pStyle w:val="ad"/>
        <w:spacing w:after="0" w:line="306" w:lineRule="exact"/>
        <w:ind w:left="509"/>
        <w:jc w:val="both"/>
        <w:rPr>
          <w:rFonts w:ascii="David" w:hAnsi="David" w:cs="David"/>
          <w:spacing w:val="6"/>
          <w:sz w:val="24"/>
          <w:szCs w:val="24"/>
          <w:rtl/>
        </w:rPr>
      </w:pPr>
      <w:r>
        <w:rPr>
          <w:rFonts w:ascii="David" w:hAnsi="David" w:cs="David"/>
          <w:b/>
          <w:bCs/>
          <w:spacing w:val="6"/>
          <w:sz w:val="24"/>
          <w:szCs w:val="24"/>
          <w:rtl/>
        </w:rPr>
        <w:t>השלישי</w:t>
      </w:r>
      <w:r>
        <w:rPr>
          <w:rFonts w:ascii="David" w:hAnsi="David" w:cs="David"/>
          <w:spacing w:val="6"/>
          <w:sz w:val="24"/>
          <w:szCs w:val="24"/>
          <w:rtl/>
        </w:rPr>
        <w:t xml:space="preserve">- </w:t>
      </w:r>
      <w:r>
        <w:rPr>
          <w:rFonts w:ascii="David" w:hAnsi="David" w:cs="David"/>
          <w:spacing w:val="6"/>
          <w:sz w:val="24"/>
          <w:szCs w:val="24"/>
          <w:rtl/>
        </w:rPr>
        <w:tab/>
      </w:r>
      <w:r>
        <w:rPr>
          <w:rFonts w:ascii="David" w:hAnsi="David" w:cs="David"/>
          <w:spacing w:val="6"/>
          <w:sz w:val="24"/>
          <w:szCs w:val="24"/>
          <w:u w:val="single"/>
          <w:rtl/>
        </w:rPr>
        <w:t>התרחשותו של נזק</w:t>
      </w:r>
      <w:r>
        <w:rPr>
          <w:rFonts w:ascii="David" w:hAnsi="David" w:cs="David"/>
          <w:spacing w:val="6"/>
          <w:sz w:val="24"/>
          <w:szCs w:val="24"/>
          <w:rtl/>
        </w:rPr>
        <w:t xml:space="preserve">; </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A76863">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ו</w:t>
      </w:r>
      <w:r>
        <w:rPr>
          <w:rFonts w:ascii="David" w:hAnsi="David" w:cs="David"/>
          <w:b/>
          <w:bCs/>
          <w:spacing w:val="6"/>
          <w:sz w:val="24"/>
          <w:szCs w:val="24"/>
          <w:rtl/>
        </w:rPr>
        <w:t>הרביעי</w:t>
      </w:r>
      <w:r>
        <w:rPr>
          <w:rFonts w:ascii="David" w:hAnsi="David" w:cs="David"/>
          <w:spacing w:val="6"/>
          <w:sz w:val="24"/>
          <w:szCs w:val="24"/>
          <w:rtl/>
        </w:rPr>
        <w:t xml:space="preserve">- </w:t>
      </w:r>
      <w:r>
        <w:rPr>
          <w:rFonts w:ascii="David" w:hAnsi="David" w:cs="David"/>
          <w:spacing w:val="6"/>
          <w:sz w:val="24"/>
          <w:szCs w:val="24"/>
          <w:rtl/>
        </w:rPr>
        <w:tab/>
      </w:r>
      <w:r>
        <w:rPr>
          <w:rFonts w:ascii="David" w:hAnsi="David" w:cs="David"/>
          <w:spacing w:val="6"/>
          <w:sz w:val="24"/>
          <w:szCs w:val="24"/>
          <w:u w:val="single"/>
          <w:rtl/>
        </w:rPr>
        <w:t>קיומו של קשר סיבתי בין הנזק להפרת חובת הזהירות</w:t>
      </w:r>
      <w:r>
        <w:rPr>
          <w:rFonts w:ascii="David" w:hAnsi="David" w:cs="David"/>
          <w:spacing w:val="6"/>
          <w:sz w:val="24"/>
          <w:szCs w:val="24"/>
          <w:rtl/>
        </w:rPr>
        <w:t>;</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BE2AB3">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w:t>
      </w:r>
      <w:r>
        <w:rPr>
          <w:rFonts w:ascii="Miriam" w:hAnsi="Miriam" w:cs="Miriam"/>
          <w:spacing w:val="6"/>
          <w:sz w:val="24"/>
          <w:szCs w:val="24"/>
          <w:rtl/>
        </w:rPr>
        <w:t>שירלי דגן, "סוגיות בדיני נזיקין" (כרך א'), המכון למחקרי משפט וכלכלה 2002, עמ'</w:t>
      </w:r>
      <w:r w:rsidR="00BE2AB3">
        <w:rPr>
          <w:rFonts w:ascii="Miriam" w:hAnsi="Miriam" w:cs="Miriam" w:hint="cs"/>
          <w:spacing w:val="6"/>
          <w:sz w:val="24"/>
          <w:szCs w:val="24"/>
          <w:rtl/>
        </w:rPr>
        <w:t xml:space="preserve"> 315-269</w:t>
      </w:r>
      <w:r>
        <w:rPr>
          <w:rFonts w:ascii="Miriam" w:hAnsi="Miriam" w:cs="Miriam"/>
          <w:spacing w:val="6"/>
          <w:sz w:val="24"/>
          <w:szCs w:val="24"/>
          <w:rtl/>
        </w:rPr>
        <w:t>; ע"א 145/80</w:t>
      </w:r>
      <w:r>
        <w:rPr>
          <w:rFonts w:ascii="Miriam" w:hAnsi="Miriam" w:cs="Miriam"/>
          <w:spacing w:val="6"/>
          <w:sz w:val="24"/>
          <w:szCs w:val="24"/>
        </w:rPr>
        <w:t xml:space="preserve"> </w:t>
      </w:r>
      <w:r>
        <w:rPr>
          <w:rFonts w:ascii="Miriam" w:hAnsi="Miriam" w:cs="Miriam"/>
          <w:spacing w:val="6"/>
          <w:sz w:val="24"/>
          <w:szCs w:val="24"/>
          <w:rtl/>
        </w:rPr>
        <w:t>ועקנין</w:t>
      </w:r>
      <w:r>
        <w:rPr>
          <w:rFonts w:ascii="Miriam" w:hAnsi="Miriam" w:cs="Miriam"/>
          <w:spacing w:val="6"/>
          <w:sz w:val="24"/>
          <w:szCs w:val="24"/>
        </w:rPr>
        <w:t xml:space="preserve"> </w:t>
      </w:r>
      <w:r>
        <w:rPr>
          <w:rFonts w:ascii="Miriam" w:hAnsi="Miriam" w:cs="Miriam"/>
          <w:spacing w:val="6"/>
          <w:sz w:val="24"/>
          <w:szCs w:val="24"/>
          <w:rtl/>
        </w:rPr>
        <w:t>נ'</w:t>
      </w:r>
      <w:r>
        <w:rPr>
          <w:rFonts w:ascii="Miriam" w:hAnsi="Miriam" w:cs="Miriam"/>
          <w:spacing w:val="6"/>
          <w:sz w:val="24"/>
          <w:szCs w:val="24"/>
        </w:rPr>
        <w:t xml:space="preserve"> </w:t>
      </w:r>
      <w:r>
        <w:rPr>
          <w:rFonts w:ascii="Miriam" w:hAnsi="Miriam" w:cs="Miriam"/>
          <w:spacing w:val="6"/>
          <w:sz w:val="24"/>
          <w:szCs w:val="24"/>
          <w:rtl/>
        </w:rPr>
        <w:t>המועצה</w:t>
      </w:r>
      <w:r>
        <w:rPr>
          <w:rFonts w:ascii="Miriam" w:hAnsi="Miriam" w:cs="Miriam"/>
          <w:spacing w:val="6"/>
          <w:sz w:val="24"/>
          <w:szCs w:val="24"/>
        </w:rPr>
        <w:t xml:space="preserve"> </w:t>
      </w:r>
      <w:r>
        <w:rPr>
          <w:rFonts w:ascii="Miriam" w:hAnsi="Miriam" w:cs="Miriam"/>
          <w:spacing w:val="6"/>
          <w:sz w:val="24"/>
          <w:szCs w:val="24"/>
          <w:rtl/>
        </w:rPr>
        <w:t>המקומית בית</w:t>
      </w:r>
      <w:r>
        <w:rPr>
          <w:rFonts w:ascii="Miriam" w:hAnsi="Miriam" w:cs="Miriam"/>
          <w:spacing w:val="6"/>
          <w:sz w:val="24"/>
          <w:szCs w:val="24"/>
        </w:rPr>
        <w:t xml:space="preserve"> </w:t>
      </w:r>
      <w:r>
        <w:rPr>
          <w:rFonts w:ascii="Miriam" w:hAnsi="Miriam" w:cs="Miriam"/>
          <w:spacing w:val="6"/>
          <w:sz w:val="24"/>
          <w:szCs w:val="24"/>
          <w:rtl/>
        </w:rPr>
        <w:t>שמש, פ</w:t>
      </w:r>
      <w:r>
        <w:rPr>
          <w:rFonts w:ascii="Miriam" w:hAnsi="Miriam" w:cs="Miriam"/>
          <w:spacing w:val="6"/>
          <w:sz w:val="24"/>
          <w:szCs w:val="24"/>
        </w:rPr>
        <w:t>''</w:t>
      </w:r>
      <w:r>
        <w:rPr>
          <w:rFonts w:ascii="Miriam" w:hAnsi="Miriam" w:cs="Miriam"/>
          <w:spacing w:val="6"/>
          <w:sz w:val="24"/>
          <w:szCs w:val="24"/>
          <w:rtl/>
        </w:rPr>
        <w:t>ד</w:t>
      </w:r>
      <w:r>
        <w:rPr>
          <w:rFonts w:ascii="Miriam" w:hAnsi="Miriam" w:cs="Miriam"/>
          <w:spacing w:val="6"/>
          <w:sz w:val="24"/>
          <w:szCs w:val="24"/>
        </w:rPr>
        <w:t xml:space="preserve"> </w:t>
      </w:r>
      <w:r>
        <w:rPr>
          <w:rFonts w:ascii="Miriam" w:hAnsi="Miriam" w:cs="Miriam"/>
          <w:spacing w:val="6"/>
          <w:sz w:val="24"/>
          <w:szCs w:val="24"/>
          <w:rtl/>
        </w:rPr>
        <w:t>לז(1) 113 (1982)</w:t>
      </w:r>
      <w:r>
        <w:rPr>
          <w:spacing w:val="6"/>
          <w:sz w:val="24"/>
          <w:szCs w:val="24"/>
          <w:rtl/>
        </w:rPr>
        <w:t>].</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6508B6">
      <w:pPr>
        <w:pStyle w:val="ad"/>
        <w:numPr>
          <w:ilvl w:val="0"/>
          <w:numId w:val="2"/>
        </w:numPr>
        <w:spacing w:after="0" w:line="306" w:lineRule="exact"/>
        <w:ind w:left="509"/>
        <w:jc w:val="both"/>
        <w:rPr>
          <w:rFonts w:ascii="David" w:hAnsi="David" w:cs="David"/>
          <w:spacing w:val="6"/>
          <w:sz w:val="24"/>
          <w:szCs w:val="24"/>
        </w:rPr>
      </w:pPr>
      <w:r>
        <w:rPr>
          <w:rFonts w:ascii="David" w:hAnsi="David" w:cs="David"/>
          <w:spacing w:val="6"/>
          <w:sz w:val="24"/>
          <w:szCs w:val="24"/>
          <w:rtl/>
        </w:rPr>
        <w:t>הפסיקה הכירה בתופעת סרבנות הגט כמקימה עילת תביעה נזיקית, הבאה בגדר עוולת הרשלנות ועוולת הפרת חובה חקוקה (הפרת חובה חקוקה כאמור בס</w:t>
      </w:r>
      <w:r w:rsidRPr="00F52D15">
        <w:rPr>
          <w:rFonts w:ascii="David" w:hAnsi="David" w:cs="David"/>
          <w:spacing w:val="6"/>
          <w:sz w:val="24"/>
          <w:szCs w:val="24"/>
          <w:rtl/>
        </w:rPr>
        <w:t>עיף 287 ל</w:t>
      </w:r>
      <w:r w:rsidR="00F52D15" w:rsidRPr="00F52D15">
        <w:rPr>
          <w:rFonts w:ascii="David" w:hAnsi="David" w:cs="David"/>
          <w:sz w:val="24"/>
          <w:szCs w:val="24"/>
          <w:rtl/>
        </w:rPr>
        <w:t>חוק העונשי</w:t>
      </w:r>
      <w:r w:rsidR="00F52D15" w:rsidRPr="00F52D15">
        <w:rPr>
          <w:rFonts w:ascii="David" w:hAnsi="David" w:cs="David"/>
          <w:spacing w:val="6"/>
          <w:sz w:val="24"/>
          <w:szCs w:val="24"/>
          <w:rtl/>
        </w:rPr>
        <w:t>ן</w:t>
      </w:r>
      <w:r w:rsidRPr="00F52D15">
        <w:rPr>
          <w:rFonts w:ascii="David" w:hAnsi="David" w:cs="David"/>
          <w:spacing w:val="6"/>
          <w:sz w:val="24"/>
          <w:szCs w:val="24"/>
          <w:rtl/>
        </w:rPr>
        <w:t xml:space="preserve"> </w:t>
      </w:r>
      <w:r>
        <w:rPr>
          <w:rFonts w:ascii="David" w:hAnsi="David" w:cs="David"/>
          <w:spacing w:val="6"/>
          <w:sz w:val="24"/>
          <w:szCs w:val="24"/>
          <w:rtl/>
        </w:rPr>
        <w:t xml:space="preserve">התשל"ז-1977 במקרים בהם ניתנה החלטה </w:t>
      </w:r>
      <w:r w:rsidR="006508B6">
        <w:rPr>
          <w:rFonts w:ascii="David" w:hAnsi="David" w:cs="David" w:hint="cs"/>
          <w:spacing w:val="6"/>
          <w:sz w:val="24"/>
          <w:szCs w:val="24"/>
          <w:rtl/>
        </w:rPr>
        <w:t xml:space="preserve">של </w:t>
      </w:r>
      <w:r>
        <w:rPr>
          <w:rFonts w:ascii="David" w:hAnsi="David" w:cs="David"/>
          <w:spacing w:val="6"/>
          <w:sz w:val="24"/>
          <w:szCs w:val="24"/>
          <w:rtl/>
        </w:rPr>
        <w:t>בית הדין המחייבת או ממליצה לבן הזוג הסרבן ליתן גט; וכאמור לעיל הפרת חוק יסוד</w:t>
      </w:r>
      <w:r w:rsidR="00F52D15">
        <w:rPr>
          <w:rFonts w:ascii="David" w:hAnsi="David" w:cs="David" w:hint="cs"/>
          <w:spacing w:val="6"/>
          <w:sz w:val="24"/>
          <w:szCs w:val="24"/>
          <w:rtl/>
        </w:rPr>
        <w:t xml:space="preserve"> כבוד האדם וחירותו)</w:t>
      </w:r>
      <w:r>
        <w:rPr>
          <w:rFonts w:ascii="David" w:hAnsi="David" w:cs="David"/>
          <w:spacing w:val="6"/>
          <w:sz w:val="24"/>
          <w:szCs w:val="24"/>
          <w:rtl/>
        </w:rPr>
        <w:t>.</w:t>
      </w:r>
    </w:p>
    <w:p w:rsidR="00A76863" w:rsidRPr="006508B6" w:rsidRDefault="00A76863" w:rsidP="00A76863">
      <w:pPr>
        <w:pStyle w:val="ad"/>
        <w:spacing w:after="0" w:line="306" w:lineRule="exact"/>
        <w:ind w:left="509"/>
        <w:jc w:val="both"/>
        <w:rPr>
          <w:rFonts w:ascii="David" w:hAnsi="David" w:cs="David"/>
          <w:spacing w:val="6"/>
          <w:sz w:val="24"/>
          <w:szCs w:val="24"/>
        </w:rPr>
      </w:pPr>
    </w:p>
    <w:p w:rsidR="00A76863" w:rsidRDefault="00A76863" w:rsidP="006508B6">
      <w:pPr>
        <w:pStyle w:val="ad"/>
        <w:numPr>
          <w:ilvl w:val="0"/>
          <w:numId w:val="2"/>
        </w:numPr>
        <w:spacing w:after="0" w:line="306" w:lineRule="exact"/>
        <w:ind w:left="509"/>
        <w:jc w:val="both"/>
        <w:rPr>
          <w:rFonts w:cs="David"/>
          <w:spacing w:val="6"/>
          <w:sz w:val="24"/>
          <w:szCs w:val="24"/>
        </w:rPr>
      </w:pPr>
      <w:r>
        <w:rPr>
          <w:rFonts w:cs="David"/>
          <w:spacing w:val="6"/>
          <w:sz w:val="24"/>
          <w:szCs w:val="24"/>
          <w:rtl/>
        </w:rPr>
        <w:t xml:space="preserve">עילת תביעה כאמור, מקנה לבן הזוג זכות לעתור לפיצוי נזיקי כנגד בן </w:t>
      </w:r>
      <w:r w:rsidR="006508B6">
        <w:rPr>
          <w:rFonts w:cs="David" w:hint="cs"/>
          <w:spacing w:val="6"/>
          <w:sz w:val="24"/>
          <w:szCs w:val="24"/>
          <w:rtl/>
        </w:rPr>
        <w:t xml:space="preserve">זוגו </w:t>
      </w:r>
      <w:r>
        <w:rPr>
          <w:rFonts w:cs="David"/>
          <w:spacing w:val="6"/>
          <w:sz w:val="24"/>
          <w:szCs w:val="24"/>
          <w:rtl/>
        </w:rPr>
        <w:t xml:space="preserve">המסרב ליתן גט, בגין הנזקים שנגרמו לו כתוצאה מהסירוב להתגרש. הקביעה האם סרבנות הגט עולה לכדי עוולה נזיקית, </w:t>
      </w:r>
      <w:r w:rsidR="006508B6">
        <w:rPr>
          <w:rFonts w:cs="David" w:hint="cs"/>
          <w:spacing w:val="6"/>
          <w:sz w:val="24"/>
          <w:szCs w:val="24"/>
          <w:rtl/>
        </w:rPr>
        <w:t xml:space="preserve">נעשית </w:t>
      </w:r>
      <w:r>
        <w:rPr>
          <w:rFonts w:cs="David"/>
          <w:spacing w:val="6"/>
          <w:sz w:val="24"/>
          <w:szCs w:val="24"/>
          <w:rtl/>
        </w:rPr>
        <w:t>על פי נסיבותיו של כל מקרה ומקרה.</w:t>
      </w:r>
    </w:p>
    <w:p w:rsidR="00A76863" w:rsidRDefault="00A76863" w:rsidP="00A76863">
      <w:pPr>
        <w:pStyle w:val="Style1"/>
        <w:numPr>
          <w:ilvl w:val="0"/>
          <w:numId w:val="0"/>
        </w:numPr>
        <w:spacing w:after="0" w:line="306" w:lineRule="exact"/>
        <w:ind w:left="84"/>
        <w:rPr>
          <w:b/>
          <w:bCs/>
          <w:spacing w:val="6"/>
          <w:u w:val="thick"/>
          <w:rtl/>
        </w:rPr>
      </w:pPr>
    </w:p>
    <w:p w:rsidR="00A76863" w:rsidRDefault="00A76863" w:rsidP="00A76863">
      <w:pPr>
        <w:pStyle w:val="Style1"/>
        <w:numPr>
          <w:ilvl w:val="0"/>
          <w:numId w:val="0"/>
        </w:numPr>
        <w:spacing w:after="0" w:line="306" w:lineRule="exact"/>
        <w:ind w:left="84"/>
        <w:rPr>
          <w:b/>
          <w:bCs/>
          <w:spacing w:val="6"/>
          <w:u w:val="thick"/>
          <w:rtl/>
        </w:rPr>
      </w:pPr>
      <w:r>
        <w:rPr>
          <w:rFonts w:hint="cs"/>
          <w:b/>
          <w:bCs/>
          <w:spacing w:val="6"/>
          <w:u w:val="thick"/>
          <w:rtl/>
        </w:rPr>
        <w:t>מן הכלל אל הפרט</w:t>
      </w:r>
    </w:p>
    <w:p w:rsidR="00A76863" w:rsidRDefault="00A76863" w:rsidP="00A76863">
      <w:pPr>
        <w:pStyle w:val="Style1"/>
        <w:numPr>
          <w:ilvl w:val="0"/>
          <w:numId w:val="0"/>
        </w:numPr>
        <w:spacing w:after="0" w:line="306" w:lineRule="exact"/>
        <w:ind w:left="84"/>
        <w:rPr>
          <w:b/>
          <w:bCs/>
          <w:spacing w:val="6"/>
          <w:u w:val="thick"/>
          <w:rtl/>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spacing w:val="6"/>
          <w:sz w:val="24"/>
          <w:szCs w:val="24"/>
          <w:rtl/>
        </w:rPr>
        <w:t>במקרה דנן, אני סבורה כי יסודות עוולת הרשלנות בהתאם לסעיף 35 לפקודה, מתקיימים כולם, ואבאר עמדתי להלן.</w:t>
      </w:r>
    </w:p>
    <w:p w:rsidR="00A76863" w:rsidRDefault="00A76863" w:rsidP="00A76863">
      <w:pPr>
        <w:spacing w:line="306" w:lineRule="exact"/>
        <w:ind w:left="149"/>
        <w:jc w:val="both"/>
        <w:rPr>
          <w:b/>
          <w:bCs/>
          <w:spacing w:val="6"/>
          <w:u w:val="single"/>
          <w:rtl/>
        </w:rPr>
      </w:pPr>
      <w:r>
        <w:rPr>
          <w:b/>
          <w:bCs/>
          <w:spacing w:val="6"/>
          <w:u w:val="single"/>
          <w:rtl/>
        </w:rPr>
        <w:lastRenderedPageBreak/>
        <w:t>קיומה של חובת זהירות</w:t>
      </w:r>
    </w:p>
    <w:p w:rsidR="00A76863" w:rsidRDefault="00A76863" w:rsidP="00A76863">
      <w:pPr>
        <w:pStyle w:val="Style1"/>
        <w:numPr>
          <w:ilvl w:val="0"/>
          <w:numId w:val="0"/>
        </w:numPr>
        <w:spacing w:after="0" w:line="306" w:lineRule="exact"/>
        <w:ind w:left="84"/>
        <w:rPr>
          <w:spacing w:val="6"/>
          <w:rtl/>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באשר לקיומה של חובת זהירות, סעיף 36 לפקודת הנזיקין, קובע כדלקמן:</w:t>
      </w:r>
    </w:p>
    <w:p w:rsidR="00A76863" w:rsidRDefault="00A76863" w:rsidP="00A76863">
      <w:pPr>
        <w:pStyle w:val="ad"/>
        <w:spacing w:after="0" w:line="306" w:lineRule="exact"/>
        <w:ind w:left="509"/>
        <w:jc w:val="both"/>
        <w:rPr>
          <w:rFonts w:cs="David"/>
          <w:spacing w:val="6"/>
          <w:sz w:val="24"/>
          <w:szCs w:val="24"/>
        </w:rPr>
      </w:pPr>
    </w:p>
    <w:p w:rsidR="00A76863" w:rsidRDefault="00A76863" w:rsidP="00A76863">
      <w:pPr>
        <w:pStyle w:val="1"/>
        <w:spacing w:after="0" w:line="306" w:lineRule="exact"/>
        <w:rPr>
          <w:rFonts w:ascii="Arial Unicode MS" w:eastAsia="Arial Unicode MS" w:hAnsi="Arial Unicode MS" w:cs="David"/>
          <w:spacing w:val="6"/>
          <w:szCs w:val="24"/>
          <w:rtl/>
        </w:rPr>
      </w:pPr>
      <w:r>
        <w:rPr>
          <w:rFonts w:cs="David"/>
          <w:spacing w:val="6"/>
          <w:szCs w:val="24"/>
          <w:rtl/>
        </w:rPr>
        <w:t>"</w:t>
      </w:r>
      <w:r>
        <w:rPr>
          <w:rFonts w:ascii="Miriam" w:hAnsi="Miriam" w:cs="Miriam"/>
          <w:spacing w:val="6"/>
          <w:szCs w:val="24"/>
          <w:rtl/>
        </w:rPr>
        <w:t>החובה האמורה בסעיף 35 מוטלת כלפי כל אדם וכלפי בעל כל נכס, כל אימת שאדם סביר צריך היה באותן נסיבות לראות מראש שהם עלולים במהלכם הרגיל של דברים להיפגע ממעשה או ממחדל המפורשים באותו סעיף</w:t>
      </w:r>
      <w:r>
        <w:rPr>
          <w:rFonts w:cs="David"/>
          <w:spacing w:val="6"/>
          <w:szCs w:val="24"/>
          <w:rtl/>
        </w:rPr>
        <w:t>".</w:t>
      </w:r>
    </w:p>
    <w:p w:rsidR="00A76863" w:rsidRDefault="00A76863" w:rsidP="00A76863">
      <w:pPr>
        <w:pStyle w:val="1"/>
        <w:spacing w:after="0" w:line="306" w:lineRule="exact"/>
        <w:rPr>
          <w:rFonts w:ascii="Arial Unicode MS" w:eastAsia="Arial Unicode MS" w:hAnsi="Arial Unicode MS" w:cs="David"/>
          <w:spacing w:val="6"/>
          <w:szCs w:val="24"/>
          <w:rtl/>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חובת הזהירות בכללותה מורכבת משני היבטים, ששניהם נערכים על פי מבחן הצפיות: האחד, </w:t>
      </w:r>
      <w:r>
        <w:rPr>
          <w:rFonts w:cs="David"/>
          <w:b/>
          <w:bCs/>
          <w:spacing w:val="6"/>
          <w:sz w:val="24"/>
          <w:szCs w:val="24"/>
          <w:rtl/>
        </w:rPr>
        <w:t>חובת הזהירות המושגית</w:t>
      </w:r>
      <w:r>
        <w:rPr>
          <w:rFonts w:cs="David"/>
          <w:spacing w:val="6"/>
          <w:sz w:val="24"/>
          <w:szCs w:val="24"/>
          <w:rtl/>
        </w:rPr>
        <w:t xml:space="preserve">, לפיה יש לבחון האם "אדם סביר" צריך היה לצפות את התרחשות הנזק; והשנייה, </w:t>
      </w:r>
      <w:r>
        <w:rPr>
          <w:rFonts w:cs="David"/>
          <w:b/>
          <w:bCs/>
          <w:spacing w:val="6"/>
          <w:sz w:val="24"/>
          <w:szCs w:val="24"/>
          <w:rtl/>
        </w:rPr>
        <w:t>חובת הזהירות הקונקרטית</w:t>
      </w:r>
      <w:r>
        <w:rPr>
          <w:rFonts w:cs="David"/>
          <w:spacing w:val="6"/>
          <w:sz w:val="24"/>
          <w:szCs w:val="24"/>
          <w:rtl/>
        </w:rPr>
        <w:t>, לפיה יש לבחון האם "אדם סביר" יכול היה, וצריך היה, לצפות, בנסיבותיו המיוחדות של המקרה, את התרחשות הנזק, כאשר מבחן זה משלב היבטים פיזיים ונורמטיביים כאחד, תוך התחשבות במזיק הספציפי, בניזוק הספציפי, בנזק הספציפי ובהתנהגות הספציפית [</w:t>
      </w:r>
      <w:r>
        <w:rPr>
          <w:rFonts w:ascii="Miriam" w:hAnsi="Miriam" w:cs="Miriam"/>
          <w:spacing w:val="6"/>
          <w:sz w:val="24"/>
          <w:szCs w:val="24"/>
          <w:rtl/>
        </w:rPr>
        <w:t>ע"א 145/80</w:t>
      </w:r>
      <w:r>
        <w:rPr>
          <w:rFonts w:ascii="Miriam" w:hAnsi="Miriam" w:cs="Miriam"/>
          <w:spacing w:val="6"/>
          <w:sz w:val="24"/>
          <w:szCs w:val="24"/>
        </w:rPr>
        <w:t xml:space="preserve"> </w:t>
      </w:r>
      <w:r>
        <w:rPr>
          <w:rFonts w:ascii="Miriam" w:hAnsi="Miriam" w:cs="Miriam"/>
          <w:spacing w:val="6"/>
          <w:sz w:val="24"/>
          <w:szCs w:val="24"/>
          <w:rtl/>
        </w:rPr>
        <w:t>ועקנין</w:t>
      </w:r>
      <w:r>
        <w:rPr>
          <w:rFonts w:ascii="Miriam" w:hAnsi="Miriam" w:cs="Miriam"/>
          <w:spacing w:val="6"/>
          <w:sz w:val="24"/>
          <w:szCs w:val="24"/>
        </w:rPr>
        <w:t xml:space="preserve"> </w:t>
      </w:r>
      <w:r>
        <w:rPr>
          <w:rFonts w:ascii="Miriam" w:hAnsi="Miriam" w:cs="Miriam"/>
          <w:spacing w:val="6"/>
          <w:sz w:val="24"/>
          <w:szCs w:val="24"/>
          <w:rtl/>
        </w:rPr>
        <w:t>נ'</w:t>
      </w:r>
      <w:r>
        <w:rPr>
          <w:rFonts w:ascii="Miriam" w:hAnsi="Miriam" w:cs="Miriam"/>
          <w:spacing w:val="6"/>
          <w:sz w:val="24"/>
          <w:szCs w:val="24"/>
        </w:rPr>
        <w:t xml:space="preserve"> </w:t>
      </w:r>
      <w:r>
        <w:rPr>
          <w:rFonts w:ascii="Miriam" w:hAnsi="Miriam" w:cs="Miriam"/>
          <w:spacing w:val="6"/>
          <w:sz w:val="24"/>
          <w:szCs w:val="24"/>
          <w:rtl/>
        </w:rPr>
        <w:t>המועצה</w:t>
      </w:r>
      <w:r>
        <w:rPr>
          <w:rFonts w:ascii="Miriam" w:hAnsi="Miriam" w:cs="Miriam"/>
          <w:spacing w:val="6"/>
          <w:sz w:val="24"/>
          <w:szCs w:val="24"/>
        </w:rPr>
        <w:t xml:space="preserve"> </w:t>
      </w:r>
      <w:r>
        <w:rPr>
          <w:rFonts w:ascii="Miriam" w:hAnsi="Miriam" w:cs="Miriam"/>
          <w:spacing w:val="6"/>
          <w:sz w:val="24"/>
          <w:szCs w:val="24"/>
          <w:rtl/>
        </w:rPr>
        <w:t>המקומית בית</w:t>
      </w:r>
      <w:r>
        <w:rPr>
          <w:rFonts w:ascii="Miriam" w:hAnsi="Miriam" w:cs="Miriam"/>
          <w:spacing w:val="6"/>
          <w:sz w:val="24"/>
          <w:szCs w:val="24"/>
        </w:rPr>
        <w:t xml:space="preserve"> </w:t>
      </w:r>
      <w:r>
        <w:rPr>
          <w:rFonts w:ascii="Miriam" w:hAnsi="Miriam" w:cs="Miriam"/>
          <w:spacing w:val="6"/>
          <w:sz w:val="24"/>
          <w:szCs w:val="24"/>
          <w:rtl/>
        </w:rPr>
        <w:t>שמש, פ</w:t>
      </w:r>
      <w:r>
        <w:rPr>
          <w:rFonts w:ascii="Miriam" w:hAnsi="Miriam" w:cs="Miriam"/>
          <w:spacing w:val="6"/>
          <w:sz w:val="24"/>
          <w:szCs w:val="24"/>
        </w:rPr>
        <w:t>''</w:t>
      </w:r>
      <w:r>
        <w:rPr>
          <w:rFonts w:ascii="Miriam" w:hAnsi="Miriam" w:cs="Miriam"/>
          <w:spacing w:val="6"/>
          <w:sz w:val="24"/>
          <w:szCs w:val="24"/>
          <w:rtl/>
        </w:rPr>
        <w:t>ד</w:t>
      </w:r>
      <w:r>
        <w:rPr>
          <w:rFonts w:ascii="Miriam" w:hAnsi="Miriam" w:cs="Miriam"/>
          <w:spacing w:val="6"/>
          <w:sz w:val="24"/>
          <w:szCs w:val="24"/>
        </w:rPr>
        <w:t xml:space="preserve"> </w:t>
      </w:r>
      <w:r>
        <w:rPr>
          <w:rFonts w:ascii="Miriam" w:hAnsi="Miriam" w:cs="Miriam"/>
          <w:spacing w:val="6"/>
          <w:sz w:val="24"/>
          <w:szCs w:val="24"/>
          <w:rtl/>
        </w:rPr>
        <w:t>לז(1) 113 (1982)</w:t>
      </w:r>
      <w:r>
        <w:rPr>
          <w:rFonts w:cs="David"/>
          <w:spacing w:val="6"/>
          <w:sz w:val="24"/>
          <w:szCs w:val="24"/>
          <w:rtl/>
        </w:rPr>
        <w:t>;</w:t>
      </w:r>
      <w:r>
        <w:rPr>
          <w:rFonts w:ascii="Miriam" w:hAnsi="Miriam" w:cs="Miriam"/>
          <w:spacing w:val="6"/>
          <w:sz w:val="24"/>
          <w:szCs w:val="24"/>
          <w:rtl/>
        </w:rPr>
        <w:t xml:space="preserve"> ע"א 243/83 עיריית ירושלים נ' גורדון, פ"ד לט(1) 113 (1985)</w:t>
      </w:r>
      <w:r>
        <w:rPr>
          <w:rFonts w:cs="David"/>
          <w:spacing w:val="6"/>
          <w:sz w:val="24"/>
          <w:szCs w:val="24"/>
          <w:rtl/>
        </w:rPr>
        <w:t>].</w:t>
      </w:r>
    </w:p>
    <w:p w:rsidR="00A76863" w:rsidRDefault="00A76863" w:rsidP="00A76863">
      <w:pPr>
        <w:pStyle w:val="ad"/>
        <w:spacing w:after="0" w:line="306" w:lineRule="exact"/>
        <w:ind w:left="509"/>
        <w:jc w:val="both"/>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b/>
          <w:spacing w:val="6"/>
          <w:sz w:val="24"/>
          <w:szCs w:val="24"/>
          <w:rtl/>
        </w:rPr>
        <w:t xml:space="preserve">בפסיקה נקבע זה מכבר, כי </w:t>
      </w:r>
      <w:r>
        <w:rPr>
          <w:rFonts w:ascii="Arial" w:hAnsi="Arial" w:cs="David"/>
          <w:spacing w:val="6"/>
          <w:sz w:val="24"/>
          <w:szCs w:val="24"/>
          <w:rtl/>
        </w:rPr>
        <w:t xml:space="preserve">בעניינם של מסורבי גט מתקיימת כמעט מאליה, </w:t>
      </w:r>
      <w:r>
        <w:rPr>
          <w:rFonts w:ascii="Arial" w:hAnsi="Arial" w:cs="David"/>
          <w:b/>
          <w:bCs/>
          <w:spacing w:val="6"/>
          <w:sz w:val="24"/>
          <w:szCs w:val="24"/>
          <w:rtl/>
        </w:rPr>
        <w:t>חובת הזהירות המושגית</w:t>
      </w:r>
      <w:r>
        <w:rPr>
          <w:rFonts w:ascii="Arial" w:hAnsi="Arial" w:cs="David"/>
          <w:spacing w:val="6"/>
          <w:sz w:val="24"/>
          <w:szCs w:val="24"/>
          <w:rtl/>
        </w:rPr>
        <w:t>, וזאת מעצם קיומה של מערכת הנישואין וכל הזכויות והחובות הנלמדות ממנה.</w:t>
      </w:r>
    </w:p>
    <w:p w:rsidR="00A76863" w:rsidRDefault="00A76863" w:rsidP="00A76863">
      <w:pPr>
        <w:pStyle w:val="1"/>
        <w:spacing w:after="0" w:line="306" w:lineRule="exact"/>
        <w:rPr>
          <w:rFonts w:ascii="Arial" w:hAnsi="Arial" w:cs="David"/>
          <w:spacing w:val="6"/>
          <w:szCs w:val="24"/>
        </w:rPr>
      </w:pPr>
    </w:p>
    <w:p w:rsidR="00A76863" w:rsidRDefault="00A76863" w:rsidP="00A76863">
      <w:pPr>
        <w:pStyle w:val="1"/>
        <w:spacing w:after="0" w:line="306" w:lineRule="exact"/>
        <w:rPr>
          <w:rFonts w:ascii="David" w:hAnsi="David" w:cs="David"/>
          <w:spacing w:val="6"/>
          <w:szCs w:val="24"/>
          <w:rtl/>
        </w:rPr>
      </w:pPr>
      <w:r>
        <w:rPr>
          <w:rFonts w:ascii="Arial" w:hAnsi="Arial" w:cs="David"/>
          <w:spacing w:val="6"/>
          <w:szCs w:val="24"/>
          <w:rtl/>
        </w:rPr>
        <w:t>"</w:t>
      </w:r>
      <w:r>
        <w:rPr>
          <w:rFonts w:ascii="Miriam" w:hAnsi="Miriam" w:cs="Miriam"/>
          <w:spacing w:val="6"/>
          <w:szCs w:val="24"/>
          <w:rtl/>
        </w:rPr>
        <w:t>בין בעל ואישה מתקיימים יחסים מיוחדים, יחסי קרבה, יחסי נאמנות, יחסים רגישים, כאשר על כל אחד מבני הזוג מוטלת חובה לנהוג כלפי האחר בכבוד, הגינות ואנושיות ובאופן שיאפשר לבן הזוג ניהול של אורח חיים תקין וסביר, בכך מתקיימת חובת הזהירות המושגית יסוד נדרש לקיום עוולת הרשלנות</w:t>
      </w:r>
      <w:r>
        <w:rPr>
          <w:rFonts w:ascii="David" w:hAnsi="David" w:cs="David"/>
          <w:spacing w:val="6"/>
          <w:szCs w:val="24"/>
          <w:rtl/>
        </w:rPr>
        <w:t>" [</w:t>
      </w:r>
      <w:r>
        <w:rPr>
          <w:rFonts w:ascii="Miriam" w:hAnsi="Miriam" w:cs="Miriam"/>
          <w:spacing w:val="6"/>
          <w:szCs w:val="24"/>
          <w:rtl/>
        </w:rPr>
        <w:t>תמ"ש (י-ם) 20673/04 ב.מ. נ' ב.ה.א (9.3.2008)</w:t>
      </w:r>
      <w:r>
        <w:rPr>
          <w:rFonts w:ascii="David" w:hAnsi="David" w:cs="David"/>
          <w:spacing w:val="6"/>
          <w:szCs w:val="24"/>
          <w:rtl/>
        </w:rPr>
        <w:t>].</w:t>
      </w:r>
    </w:p>
    <w:p w:rsidR="00A76863" w:rsidRDefault="00A76863" w:rsidP="00A76863">
      <w:pPr>
        <w:pStyle w:val="ad"/>
        <w:spacing w:after="0" w:line="306" w:lineRule="exact"/>
        <w:ind w:right="-180"/>
        <w:rPr>
          <w:spacing w:val="6"/>
          <w:sz w:val="24"/>
          <w:szCs w:val="24"/>
          <w:rtl/>
          <w:lang w:val="fr-CH"/>
        </w:rPr>
      </w:pPr>
    </w:p>
    <w:p w:rsidR="00A76863" w:rsidRDefault="00A76863" w:rsidP="005E06AE">
      <w:pPr>
        <w:pStyle w:val="1"/>
        <w:spacing w:after="0" w:line="306" w:lineRule="exact"/>
        <w:rPr>
          <w:rFonts w:ascii="David" w:hAnsi="David" w:cs="David"/>
          <w:spacing w:val="6"/>
          <w:szCs w:val="24"/>
          <w:rtl/>
        </w:rPr>
      </w:pPr>
      <w:r>
        <w:rPr>
          <w:rFonts w:ascii="David" w:hAnsi="David" w:cs="David"/>
          <w:spacing w:val="6"/>
          <w:szCs w:val="24"/>
          <w:rtl/>
        </w:rPr>
        <w:t>"</w:t>
      </w:r>
      <w:r>
        <w:rPr>
          <w:rFonts w:ascii="Miriam" w:hAnsi="Miriam" w:cs="Miriam"/>
          <w:spacing w:val="6"/>
          <w:szCs w:val="24"/>
          <w:rtl/>
        </w:rPr>
        <w:t>אין ספק כי אדם שאשתו מבקשת לבטל את השותפות עימו ולהתחיל בחיים חדשים בלעדיו (עם או בלי אדם אחר) יכול לצפות שהימנעותו ממתן גט לאחר שחויב לעשות כן תגרום לאישה סבל רב. בנקודה זו אי אפשר להתעלם מן העובדה שהתנהגותו של הסרבן הינה זדונית לעיתים קרובות, קיומו של זדון מעיד – בדרך של קל וחומר – על קיומה של צפיות, מי שמתכוון לגרום נזק ופועל לשם מימוש כוונתו צופה בוודאי שהנזק המתוכנן יגרם...</w:t>
      </w:r>
      <w:r>
        <w:rPr>
          <w:rFonts w:ascii="David" w:hAnsi="David" w:cs="David"/>
          <w:spacing w:val="6"/>
          <w:szCs w:val="24"/>
          <w:rtl/>
        </w:rPr>
        <w:t>" [</w:t>
      </w:r>
      <w:r>
        <w:rPr>
          <w:rFonts w:ascii="Miriam" w:hAnsi="Miriam" w:cs="Miriam"/>
          <w:spacing w:val="6"/>
          <w:szCs w:val="24"/>
          <w:rtl/>
          <w:lang w:val="fr-CH"/>
        </w:rPr>
        <w:t>קפלן</w:t>
      </w:r>
      <w:r w:rsidR="00F52D15">
        <w:rPr>
          <w:rFonts w:ascii="Miriam" w:hAnsi="Miriam" w:cs="Miriam" w:hint="cs"/>
          <w:spacing w:val="6"/>
          <w:szCs w:val="24"/>
          <w:rtl/>
          <w:lang w:val="fr-CH"/>
        </w:rPr>
        <w:t xml:space="preserve"> ופרי, על אחריותם בנזיקין של</w:t>
      </w:r>
      <w:r w:rsidR="005E06AE">
        <w:rPr>
          <w:rFonts w:ascii="Miriam" w:hAnsi="Miriam" w:cs="Miriam" w:hint="cs"/>
          <w:spacing w:val="6"/>
          <w:szCs w:val="24"/>
          <w:rtl/>
          <w:lang w:val="fr-CH"/>
        </w:rPr>
        <w:t xml:space="preserve"> סרבני גט</w:t>
      </w:r>
      <w:r>
        <w:rPr>
          <w:rFonts w:ascii="Miriam" w:hAnsi="Miriam" w:cs="Miriam"/>
          <w:spacing w:val="6"/>
          <w:szCs w:val="24"/>
          <w:rtl/>
          <w:lang w:val="fr-CH"/>
        </w:rPr>
        <w:t xml:space="preserve">, עיוני משפט כ"ח, חוברת 3, </w:t>
      </w:r>
      <w:r w:rsidR="005E06AE">
        <w:rPr>
          <w:rFonts w:ascii="Miriam" w:hAnsi="Miriam" w:cs="Miriam" w:hint="cs"/>
          <w:spacing w:val="6"/>
          <w:szCs w:val="24"/>
          <w:rtl/>
          <w:lang w:val="fr-CH"/>
        </w:rPr>
        <w:t xml:space="preserve"> 773, בעמ' </w:t>
      </w:r>
      <w:r>
        <w:rPr>
          <w:rFonts w:ascii="Miriam" w:hAnsi="Miriam" w:cs="Miriam"/>
          <w:spacing w:val="6"/>
          <w:szCs w:val="24"/>
          <w:rtl/>
          <w:lang w:val="fr-CH"/>
        </w:rPr>
        <w:t>795</w:t>
      </w:r>
      <w:r>
        <w:rPr>
          <w:rFonts w:ascii="David" w:hAnsi="David" w:cs="David"/>
          <w:spacing w:val="6"/>
          <w:szCs w:val="24"/>
          <w:rtl/>
        </w:rPr>
        <w:t>].</w:t>
      </w:r>
    </w:p>
    <w:p w:rsidR="00A76863" w:rsidRDefault="00A76863" w:rsidP="00A76863">
      <w:pPr>
        <w:pStyle w:val="1"/>
        <w:spacing w:after="0" w:line="306" w:lineRule="exact"/>
        <w:rPr>
          <w:rFonts w:ascii="David" w:hAnsi="David" w:cs="David"/>
          <w:spacing w:val="6"/>
          <w:szCs w:val="24"/>
          <w:rtl/>
        </w:rPr>
      </w:pPr>
    </w:p>
    <w:p w:rsidR="00A76863" w:rsidRDefault="00A76863" w:rsidP="00A76863">
      <w:pPr>
        <w:pStyle w:val="1"/>
        <w:spacing w:after="0" w:line="306" w:lineRule="exact"/>
        <w:rPr>
          <w:rFonts w:ascii="David" w:hAnsi="David" w:cs="David"/>
          <w:spacing w:val="6"/>
          <w:szCs w:val="24"/>
          <w:rtl/>
        </w:rPr>
      </w:pPr>
      <w:r>
        <w:rPr>
          <w:rFonts w:ascii="David" w:hAnsi="David" w:cs="David"/>
          <w:spacing w:val="6"/>
          <w:szCs w:val="24"/>
          <w:rtl/>
        </w:rPr>
        <w:t>"</w:t>
      </w:r>
      <w:r>
        <w:rPr>
          <w:rFonts w:ascii="Miriam" w:hAnsi="Miriam" w:cs="Miriam"/>
          <w:spacing w:val="6"/>
          <w:szCs w:val="24"/>
          <w:rtl/>
        </w:rPr>
        <w:t>...בין בני זוג קיימת חובת זהירות מושגית: מתקיימים ביניהם יחסים מיוחדים, שהם בהחלט יחסי קרבה (</w:t>
      </w:r>
      <w:r>
        <w:rPr>
          <w:rFonts w:ascii="Miriam" w:hAnsi="Miriam" w:cs="Miriam"/>
          <w:noProof/>
          <w:spacing w:val="6"/>
          <w:szCs w:val="24"/>
        </w:rPr>
        <w:t>PRIVITY</w:t>
      </w:r>
      <w:r>
        <w:rPr>
          <w:rFonts w:ascii="Miriam" w:hAnsi="Miriam" w:cs="Miriam"/>
          <w:spacing w:val="6"/>
          <w:szCs w:val="24"/>
          <w:rtl/>
        </w:rPr>
        <w:t xml:space="preserve">) לצורכי </w:t>
      </w:r>
      <w:r>
        <w:rPr>
          <w:rFonts w:ascii="Miriam" w:hAnsi="Miriam" w:cs="Miriam"/>
          <w:spacing w:val="6"/>
          <w:szCs w:val="24"/>
          <w:rtl/>
        </w:rPr>
        <w:lastRenderedPageBreak/>
        <w:t>עוולת הרשלנות. יחסים אלו מחייבים כל אחד מבני הזוג לנהוג כלפי האחר בכבוד, בהגינות ובאנושיות, באופן שיאפשר לבן הזוג ניהול של אורח חיים תקין וסביר. השארת בן הזוג במסגרת כובלת וחונקת של נישואין חסרי תוכן ממשי, נעדרי אותו תוכן שלמענו נישאו בני הזוג, איננה התנהלות של אדם סביר... מן הראוי הוא לדעתי, שבחברה, בה הגירושין הם תלויי רצון שני הצדדים, תחשב התנהלות שאינה תואמת את ערך החירות להפסיק נישואין כושלים, משום התנהגות שאיננה סבירה ולפיכך רשלנית. בן הזוג שהוא בבחינת סרבן גט - גבר או אשה - מודע, או חייב להיות מודע, לנזקים שנגרמים לבן הזוג המסורב</w:t>
      </w:r>
      <w:r>
        <w:rPr>
          <w:rFonts w:ascii="David" w:hAnsi="David" w:cs="David"/>
          <w:spacing w:val="6"/>
          <w:szCs w:val="24"/>
          <w:rtl/>
        </w:rPr>
        <w:t>" [</w:t>
      </w:r>
      <w:r>
        <w:rPr>
          <w:rFonts w:ascii="Miriam" w:hAnsi="Miriam" w:cs="Miriam"/>
          <w:spacing w:val="6"/>
          <w:szCs w:val="24"/>
          <w:rtl/>
        </w:rPr>
        <w:t>עמ"ש (חי') 23464-10-09 א' ש' נ' ד' ש' (6.10.2011)</w:t>
      </w:r>
      <w:r>
        <w:rPr>
          <w:rFonts w:ascii="David" w:hAnsi="David" w:cs="David"/>
          <w:spacing w:val="6"/>
          <w:szCs w:val="24"/>
          <w:rtl/>
        </w:rPr>
        <w:t>].</w:t>
      </w:r>
    </w:p>
    <w:p w:rsidR="00A76863" w:rsidRDefault="00A76863" w:rsidP="00A76863">
      <w:pPr>
        <w:pStyle w:val="ad"/>
        <w:spacing w:after="0" w:line="306" w:lineRule="exact"/>
        <w:ind w:right="-180"/>
        <w:rPr>
          <w:b/>
          <w:spacing w:val="6"/>
          <w:sz w:val="24"/>
          <w:szCs w:val="24"/>
          <w:rtl/>
          <w:lang w:val="fr-CH"/>
        </w:rPr>
      </w:pPr>
    </w:p>
    <w:p w:rsidR="00A76863" w:rsidRDefault="00A76863" w:rsidP="00A76863">
      <w:pPr>
        <w:pStyle w:val="1"/>
        <w:spacing w:after="0" w:line="306" w:lineRule="exact"/>
        <w:rPr>
          <w:rFonts w:cs="David"/>
          <w:spacing w:val="6"/>
          <w:szCs w:val="24"/>
          <w:rtl/>
        </w:rPr>
      </w:pPr>
      <w:r>
        <w:rPr>
          <w:rFonts w:ascii="David" w:hAnsi="David" w:cs="David"/>
          <w:spacing w:val="6"/>
          <w:szCs w:val="24"/>
          <w:rtl/>
        </w:rPr>
        <w:t>"</w:t>
      </w:r>
      <w:r>
        <w:rPr>
          <w:rFonts w:ascii="Miriam" w:hAnsi="Miriam" w:cs="Miriam"/>
          <w:spacing w:val="6"/>
          <w:szCs w:val="24"/>
          <w:rtl/>
        </w:rPr>
        <w:t>הותרת בן הזוג במסגרת כובלת וחונקת של נישואין חסרי תוכן ממשי, נעדרי אותו תוכן שלמענו נישאו בני הזוג, איננה התנהלות של אדם סביר ומקימה מיניה וביה הפרה של חובת הזהירות הקונקרטית בין בני הזוג</w:t>
      </w:r>
      <w:r>
        <w:rPr>
          <w:rFonts w:ascii="David" w:hAnsi="David" w:cs="David"/>
          <w:spacing w:val="6"/>
          <w:szCs w:val="24"/>
          <w:rtl/>
        </w:rPr>
        <w:t>"</w:t>
      </w:r>
      <w:r>
        <w:rPr>
          <w:rFonts w:cs="David"/>
          <w:spacing w:val="6"/>
          <w:szCs w:val="24"/>
          <w:rtl/>
        </w:rPr>
        <w:t xml:space="preserve"> [</w:t>
      </w:r>
      <w:r>
        <w:rPr>
          <w:rFonts w:ascii="Miriam" w:hAnsi="Miriam" w:cs="Miriam"/>
          <w:spacing w:val="6"/>
          <w:szCs w:val="24"/>
          <w:rtl/>
        </w:rPr>
        <w:t>תמ"ש (י-ם) 46459-07-12 ז' ג' נ' ש' אג' (17.8.2014)</w:t>
      </w:r>
      <w:r>
        <w:rPr>
          <w:rFonts w:cs="David"/>
          <w:spacing w:val="6"/>
          <w:szCs w:val="24"/>
          <w:rtl/>
        </w:rPr>
        <w:t>].</w:t>
      </w:r>
    </w:p>
    <w:p w:rsidR="00A76863" w:rsidRDefault="00A76863" w:rsidP="00A76863">
      <w:pPr>
        <w:pStyle w:val="1"/>
        <w:spacing w:after="0" w:line="306" w:lineRule="exact"/>
        <w:rPr>
          <w:rFonts w:cs="David"/>
          <w:spacing w:val="6"/>
          <w:szCs w:val="24"/>
          <w:rtl/>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ascii="David" w:hAnsi="David" w:cs="David"/>
          <w:spacing w:val="6"/>
          <w:sz w:val="24"/>
          <w:szCs w:val="24"/>
          <w:rtl/>
        </w:rPr>
        <w:t xml:space="preserve">במקרה דנן, קיימת </w:t>
      </w:r>
      <w:r>
        <w:rPr>
          <w:rFonts w:ascii="David" w:hAnsi="David" w:cs="David"/>
          <w:b/>
          <w:bCs/>
          <w:spacing w:val="6"/>
          <w:sz w:val="24"/>
          <w:szCs w:val="24"/>
          <w:rtl/>
        </w:rPr>
        <w:t>חובת זהירות קונקרטית</w:t>
      </w:r>
      <w:r>
        <w:rPr>
          <w:rFonts w:ascii="David" w:hAnsi="David" w:cs="David"/>
          <w:spacing w:val="6"/>
          <w:sz w:val="24"/>
          <w:szCs w:val="24"/>
          <w:rtl/>
        </w:rPr>
        <w:t xml:space="preserve"> של הנתבע כלפי התובעת, מכוח נישואיהם זה לזה, ובעיקר </w:t>
      </w:r>
      <w:r>
        <w:rPr>
          <w:rFonts w:ascii="David" w:hAnsi="David" w:cs="David"/>
          <w:b/>
          <w:bCs/>
          <w:spacing w:val="6"/>
          <w:sz w:val="24"/>
          <w:szCs w:val="24"/>
          <w:rtl/>
        </w:rPr>
        <w:t>לנוכח התחייבותו המפורשת בהסכם להגיש בקשה משותפת לבית הדין הרבני לצורך סידור הגט</w:t>
      </w:r>
      <w:r>
        <w:rPr>
          <w:rFonts w:ascii="David" w:hAnsi="David" w:cs="David"/>
          <w:spacing w:val="6"/>
          <w:sz w:val="24"/>
          <w:szCs w:val="24"/>
          <w:rtl/>
        </w:rPr>
        <w:t>. בנסיבות אלה, היה על הנתבע לצפות כי התנערותו מהתחייבויותיו בהסכם וסירובו ליתן גט תפגע בתובעת ותזיק לה.</w:t>
      </w:r>
    </w:p>
    <w:p w:rsidR="00A76863" w:rsidRDefault="00A76863" w:rsidP="00A76863">
      <w:pPr>
        <w:pStyle w:val="ad"/>
        <w:spacing w:after="0" w:line="306" w:lineRule="exact"/>
        <w:ind w:left="509"/>
        <w:jc w:val="both"/>
        <w:rPr>
          <w:rFonts w:ascii="Arial" w:hAnsi="Arial" w:cs="David"/>
          <w:spacing w:val="6"/>
          <w:sz w:val="24"/>
          <w:szCs w:val="24"/>
        </w:rPr>
      </w:pPr>
    </w:p>
    <w:p w:rsidR="00A76863" w:rsidRDefault="00A76863" w:rsidP="00A76863">
      <w:pPr>
        <w:spacing w:line="306" w:lineRule="exact"/>
        <w:ind w:left="149"/>
        <w:jc w:val="both"/>
        <w:rPr>
          <w:rFonts w:asciiTheme="minorHAnsi" w:hAnsiTheme="minorHAnsi"/>
          <w:b/>
          <w:bCs/>
          <w:spacing w:val="6"/>
          <w:u w:val="single"/>
        </w:rPr>
      </w:pPr>
      <w:r>
        <w:rPr>
          <w:b/>
          <w:bCs/>
          <w:spacing w:val="6"/>
          <w:u w:val="single"/>
          <w:rtl/>
        </w:rPr>
        <w:t>הפרת חובת הזהירות</w:t>
      </w:r>
    </w:p>
    <w:p w:rsidR="00A76863" w:rsidRDefault="00A76863" w:rsidP="00A76863">
      <w:pPr>
        <w:pStyle w:val="Style1"/>
        <w:numPr>
          <w:ilvl w:val="0"/>
          <w:numId w:val="0"/>
        </w:numPr>
        <w:spacing w:after="0" w:line="306" w:lineRule="exact"/>
        <w:ind w:left="84"/>
        <w:rPr>
          <w:spacing w:val="6"/>
          <w:rtl/>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משנמצא כי קיימת חובת זהירות של הנתבע כלפי התובעת, יש לבחון כעת האם הנתבע הפר בהתנהגותו את חובת הזהירות המוטלת עליו. </w:t>
      </w:r>
    </w:p>
    <w:p w:rsidR="00A76863" w:rsidRDefault="00A76863" w:rsidP="00A76863">
      <w:pPr>
        <w:pStyle w:val="ad"/>
        <w:spacing w:after="0" w:line="306" w:lineRule="exact"/>
        <w:ind w:left="509"/>
        <w:jc w:val="both"/>
        <w:rPr>
          <w:rFonts w:cs="David"/>
          <w:spacing w:val="6"/>
          <w:sz w:val="24"/>
          <w:szCs w:val="24"/>
        </w:rPr>
      </w:pPr>
    </w:p>
    <w:p w:rsidR="00A76863" w:rsidRDefault="00A76863" w:rsidP="00086379">
      <w:pPr>
        <w:pStyle w:val="ad"/>
        <w:numPr>
          <w:ilvl w:val="0"/>
          <w:numId w:val="2"/>
        </w:numPr>
        <w:spacing w:after="0" w:line="306" w:lineRule="exact"/>
        <w:ind w:left="509"/>
        <w:jc w:val="both"/>
        <w:rPr>
          <w:rFonts w:cs="David"/>
          <w:spacing w:val="6"/>
          <w:sz w:val="24"/>
          <w:szCs w:val="24"/>
        </w:rPr>
      </w:pPr>
      <w:r>
        <w:rPr>
          <w:rFonts w:cs="David"/>
          <w:spacing w:val="6"/>
          <w:sz w:val="24"/>
          <w:szCs w:val="24"/>
          <w:rtl/>
        </w:rPr>
        <w:t xml:space="preserve">למעשה, אין חולק כי הצדדים התגרשו רק ביום 20.4.2021 – </w:t>
      </w:r>
      <w:r>
        <w:rPr>
          <w:rFonts w:cs="David"/>
          <w:b/>
          <w:bCs/>
          <w:spacing w:val="6"/>
          <w:sz w:val="24"/>
          <w:szCs w:val="24"/>
          <w:rtl/>
        </w:rPr>
        <w:t>בחלוף כ-21 חודשים ממועד ההסכם</w:t>
      </w:r>
      <w:r>
        <w:rPr>
          <w:rFonts w:cs="David"/>
          <w:spacing w:val="6"/>
          <w:sz w:val="24"/>
          <w:szCs w:val="24"/>
          <w:rtl/>
        </w:rPr>
        <w:t xml:space="preserve"> – אולם, לא די בעובדה זו לבדה, ויש לבחון האם בנסיבות המקרה האשמה בעיכוב הגט מונחת לפתחו של הנתבע או לא, והאם סירובו ליתן גט הינו סירוב סביר ולגיטימי, כפי שניתן לצפות מאדם סביר </w:t>
      </w:r>
      <w:r w:rsidR="00086379">
        <w:rPr>
          <w:rFonts w:cs="David" w:hint="cs"/>
          <w:spacing w:val="6"/>
          <w:sz w:val="24"/>
          <w:szCs w:val="24"/>
          <w:rtl/>
        </w:rPr>
        <w:t xml:space="preserve">הנמצא </w:t>
      </w:r>
      <w:r>
        <w:rPr>
          <w:rFonts w:cs="David"/>
          <w:spacing w:val="6"/>
          <w:sz w:val="24"/>
          <w:szCs w:val="24"/>
          <w:rtl/>
        </w:rPr>
        <w:t>בנעליו, או שמא חורג הוא מהתנהגות סבירה והתנהגותו זו עולה לכדי רשלנות; "</w:t>
      </w:r>
      <w:r>
        <w:rPr>
          <w:rFonts w:ascii="Miriam" w:hAnsi="Miriam" w:cs="Miriam"/>
          <w:spacing w:val="6"/>
          <w:sz w:val="24"/>
          <w:szCs w:val="24"/>
          <w:rtl/>
        </w:rPr>
        <w:t>המענה על שאלה זו יעשה דרך אספקלריה של תום לב וסבירות לפי נסיבות העניין. לא מן הנמנע כי סירוב להתגרש מנימוק כזה או אחר ייחשב סביר ותם לב בנקודת זמן ספציפית ותחת נסיבות מסוימות, אך עם חלוף הזמן, ילך נימוק זה ויאבד מן הלגיטימיות שלו עד אשר יהפוך בשלב מסוים לבלתי סביר וחסר תום לב, באופן שיעלה כדי רשלנות מצד הסרבן כלפי הצד המבקש להתגרש</w:t>
      </w:r>
      <w:r>
        <w:rPr>
          <w:rFonts w:cs="David"/>
          <w:spacing w:val="6"/>
          <w:sz w:val="24"/>
          <w:szCs w:val="24"/>
          <w:rtl/>
        </w:rPr>
        <w:t>" [</w:t>
      </w:r>
      <w:r>
        <w:rPr>
          <w:rFonts w:ascii="Miriam" w:hAnsi="Miriam" w:cs="Miriam"/>
          <w:spacing w:val="6"/>
          <w:sz w:val="24"/>
          <w:szCs w:val="24"/>
          <w:rtl/>
        </w:rPr>
        <w:t>תמ"ש (י-ם) 39371-09-12 ש.ב.ע. נ' צ.ב.ע. (10.12.2013)</w:t>
      </w:r>
      <w:r>
        <w:rPr>
          <w:rFonts w:cs="David"/>
          <w:spacing w:val="6"/>
          <w:sz w:val="24"/>
          <w:szCs w:val="24"/>
          <w:rtl/>
        </w:rPr>
        <w:t>].</w:t>
      </w:r>
    </w:p>
    <w:p w:rsidR="00A76863" w:rsidRDefault="00A76863" w:rsidP="00A76863">
      <w:pPr>
        <w:pStyle w:val="ad"/>
        <w:spacing w:after="0" w:line="306" w:lineRule="exact"/>
        <w:rPr>
          <w:rFonts w:cs="David"/>
          <w:spacing w:val="6"/>
          <w:sz w:val="24"/>
          <w:szCs w:val="24"/>
        </w:rPr>
      </w:pPr>
    </w:p>
    <w:p w:rsidR="00A76863" w:rsidRDefault="00A76863" w:rsidP="00086379">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הנתבע מכחיש מכל וכל כי העיכוב במתן הגט נבע באשמתו, תוך שהוא מספק שלל של הסברים שגרמו לדידו עיכוב בסידור הגט; ואלה עיקר טענותיו:</w:t>
      </w:r>
    </w:p>
    <w:p w:rsidR="00A76863" w:rsidRDefault="00A76863" w:rsidP="00A76863">
      <w:pPr>
        <w:pStyle w:val="ad"/>
        <w:numPr>
          <w:ilvl w:val="0"/>
          <w:numId w:val="5"/>
        </w:numPr>
        <w:spacing w:after="0" w:line="306" w:lineRule="exact"/>
        <w:jc w:val="both"/>
        <w:rPr>
          <w:rFonts w:cs="David"/>
          <w:spacing w:val="6"/>
          <w:sz w:val="24"/>
          <w:szCs w:val="24"/>
          <w:rtl/>
        </w:rPr>
      </w:pPr>
      <w:r>
        <w:rPr>
          <w:rFonts w:cs="David"/>
          <w:spacing w:val="6"/>
          <w:sz w:val="24"/>
          <w:szCs w:val="24"/>
          <w:rtl/>
        </w:rPr>
        <w:lastRenderedPageBreak/>
        <w:t>העובדה שהצדדים גרושים כיום מעידה בבירור כי הנתבע עמד בהתחייבותו;</w:t>
      </w:r>
    </w:p>
    <w:p w:rsidR="00A76863" w:rsidRDefault="00A76863" w:rsidP="00A76863">
      <w:pPr>
        <w:pStyle w:val="ad"/>
        <w:spacing w:after="0" w:line="306" w:lineRule="exact"/>
        <w:ind w:left="869"/>
        <w:jc w:val="both"/>
        <w:rPr>
          <w:rFonts w:cs="David"/>
          <w:spacing w:val="6"/>
          <w:sz w:val="24"/>
          <w:szCs w:val="24"/>
        </w:rPr>
      </w:pPr>
    </w:p>
    <w:p w:rsidR="00A76863" w:rsidRDefault="00A76863" w:rsidP="00A76863">
      <w:pPr>
        <w:pStyle w:val="ad"/>
        <w:numPr>
          <w:ilvl w:val="0"/>
          <w:numId w:val="5"/>
        </w:numPr>
        <w:spacing w:after="0" w:line="306" w:lineRule="exact"/>
        <w:jc w:val="both"/>
        <w:rPr>
          <w:rFonts w:cs="David"/>
          <w:spacing w:val="6"/>
          <w:sz w:val="24"/>
          <w:szCs w:val="24"/>
        </w:rPr>
      </w:pPr>
      <w:r>
        <w:rPr>
          <w:rFonts w:cs="David"/>
          <w:spacing w:val="6"/>
          <w:sz w:val="24"/>
          <w:szCs w:val="24"/>
          <w:rtl/>
        </w:rPr>
        <w:t>לא ניתן היה לבצע את סידור הגט כל עוד הצדדים התגוררו תחת קורת גג אחת;</w:t>
      </w:r>
    </w:p>
    <w:p w:rsidR="00A76863" w:rsidRDefault="00A76863" w:rsidP="00A76863">
      <w:pPr>
        <w:spacing w:line="306" w:lineRule="exact"/>
        <w:jc w:val="both"/>
        <w:rPr>
          <w:spacing w:val="6"/>
        </w:rPr>
      </w:pPr>
    </w:p>
    <w:p w:rsidR="00A76863" w:rsidRDefault="00A76863" w:rsidP="00A76863">
      <w:pPr>
        <w:pStyle w:val="ad"/>
        <w:numPr>
          <w:ilvl w:val="0"/>
          <w:numId w:val="5"/>
        </w:numPr>
        <w:spacing w:after="0" w:line="306" w:lineRule="exact"/>
        <w:jc w:val="both"/>
        <w:rPr>
          <w:rFonts w:cs="David"/>
          <w:spacing w:val="6"/>
          <w:sz w:val="24"/>
          <w:szCs w:val="24"/>
        </w:rPr>
      </w:pPr>
      <w:r>
        <w:rPr>
          <w:rFonts w:cs="David"/>
          <w:spacing w:val="6"/>
          <w:sz w:val="24"/>
          <w:szCs w:val="24"/>
          <w:rtl/>
        </w:rPr>
        <w:t>לאחר הפרדת המגורים, התובעת בחרה למעלה משנה שלא לפעול בעניין הגירושין, כך שעליה לבוא בתלונות אך ורק כלפי עצמה;</w:t>
      </w:r>
    </w:p>
    <w:p w:rsidR="00A76863" w:rsidRDefault="00A76863" w:rsidP="00A76863">
      <w:pPr>
        <w:pStyle w:val="ad"/>
        <w:spacing w:after="0" w:line="306" w:lineRule="exact"/>
        <w:rPr>
          <w:rFonts w:cs="David"/>
          <w:spacing w:val="6"/>
          <w:sz w:val="24"/>
          <w:szCs w:val="24"/>
        </w:rPr>
      </w:pPr>
    </w:p>
    <w:p w:rsidR="00A76863" w:rsidRDefault="00A76863" w:rsidP="00086379">
      <w:pPr>
        <w:pStyle w:val="ad"/>
        <w:numPr>
          <w:ilvl w:val="0"/>
          <w:numId w:val="5"/>
        </w:numPr>
        <w:spacing w:after="0" w:line="306" w:lineRule="exact"/>
        <w:jc w:val="both"/>
        <w:rPr>
          <w:rFonts w:cs="David"/>
          <w:spacing w:val="6"/>
          <w:sz w:val="24"/>
          <w:szCs w:val="24"/>
          <w:rtl/>
        </w:rPr>
      </w:pPr>
      <w:r>
        <w:rPr>
          <w:rFonts w:cs="David"/>
          <w:spacing w:val="6"/>
          <w:sz w:val="24"/>
          <w:szCs w:val="24"/>
          <w:rtl/>
        </w:rPr>
        <w:t>התמשכות ההליכים בבית הדין (דחיית דיונים) הייתה בשל משבר הקורונה, ללא שום קשר לנתבע.</w:t>
      </w:r>
    </w:p>
    <w:p w:rsidR="00A76863" w:rsidRDefault="00A76863" w:rsidP="00A76863">
      <w:pPr>
        <w:pStyle w:val="ad"/>
        <w:spacing w:after="0" w:line="306" w:lineRule="exact"/>
        <w:rPr>
          <w:rFonts w:cs="David"/>
          <w:spacing w:val="6"/>
          <w:sz w:val="24"/>
          <w:szCs w:val="24"/>
        </w:rPr>
      </w:pPr>
    </w:p>
    <w:p w:rsidR="00A76863" w:rsidRDefault="00A76863" w:rsidP="00A76863">
      <w:pPr>
        <w:pStyle w:val="ad"/>
        <w:numPr>
          <w:ilvl w:val="0"/>
          <w:numId w:val="5"/>
        </w:numPr>
        <w:spacing w:after="0" w:line="306" w:lineRule="exact"/>
        <w:jc w:val="both"/>
        <w:rPr>
          <w:rFonts w:cs="David"/>
          <w:spacing w:val="6"/>
          <w:sz w:val="24"/>
          <w:szCs w:val="24"/>
          <w:rtl/>
        </w:rPr>
      </w:pPr>
      <w:r>
        <w:rPr>
          <w:rFonts w:cs="David"/>
          <w:spacing w:val="6"/>
          <w:sz w:val="24"/>
          <w:szCs w:val="24"/>
          <w:rtl/>
        </w:rPr>
        <w:t>לא ניתנה כל החלטה מטעם בית הדין המחייב את הנתבע ליתן גט.</w:t>
      </w:r>
    </w:p>
    <w:p w:rsidR="00A76863" w:rsidRDefault="00A76863" w:rsidP="00A76863">
      <w:pPr>
        <w:pStyle w:val="ad"/>
        <w:spacing w:after="0" w:line="306" w:lineRule="exact"/>
        <w:ind w:left="869"/>
        <w:jc w:val="both"/>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spacing w:val="6"/>
          <w:sz w:val="24"/>
          <w:szCs w:val="24"/>
          <w:rtl/>
        </w:rPr>
        <w:t>בחינת טענותיו אלה של הנתבע אל מול הנסיבות והעדויות שנשמעו בפניי מלמדת שאין בהן ממש; כפי שיפורט להלן.</w:t>
      </w:r>
    </w:p>
    <w:p w:rsidR="00A76863" w:rsidRDefault="00A76863" w:rsidP="00A76863">
      <w:pPr>
        <w:pStyle w:val="ad"/>
        <w:spacing w:after="0" w:line="306" w:lineRule="exact"/>
        <w:ind w:left="509"/>
        <w:jc w:val="both"/>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u w:val="single"/>
          <w:rtl/>
        </w:rPr>
        <w:t>הטענה כי הצדדים גרושים זמ"ז מעידה כי הנתבע לא הפר את חובתו</w:t>
      </w:r>
      <w:r>
        <w:rPr>
          <w:rFonts w:cs="David"/>
          <w:spacing w:val="6"/>
          <w:sz w:val="24"/>
          <w:szCs w:val="24"/>
          <w:rtl/>
        </w:rPr>
        <w:t xml:space="preserve"> –</w:t>
      </w:r>
    </w:p>
    <w:p w:rsidR="00A76863" w:rsidRDefault="00A76863" w:rsidP="00A76863">
      <w:pPr>
        <w:pStyle w:val="ad"/>
        <w:spacing w:after="0" w:line="306" w:lineRule="exact"/>
        <w:rPr>
          <w:rFonts w:cs="David"/>
          <w:spacing w:val="6"/>
          <w:sz w:val="24"/>
          <w:szCs w:val="24"/>
        </w:rPr>
      </w:pPr>
    </w:p>
    <w:p w:rsidR="00A76863" w:rsidRDefault="005F439B" w:rsidP="005F439B">
      <w:pPr>
        <w:pStyle w:val="ad"/>
        <w:spacing w:after="0" w:line="306" w:lineRule="exact"/>
        <w:ind w:left="509"/>
        <w:jc w:val="both"/>
        <w:rPr>
          <w:rFonts w:cs="David"/>
          <w:spacing w:val="6"/>
          <w:sz w:val="24"/>
          <w:szCs w:val="24"/>
          <w:rtl/>
        </w:rPr>
      </w:pPr>
      <w:r>
        <w:rPr>
          <w:rFonts w:cs="David" w:hint="cs"/>
          <w:spacing w:val="6"/>
          <w:sz w:val="24"/>
          <w:szCs w:val="24"/>
          <w:rtl/>
        </w:rPr>
        <w:t>בכל</w:t>
      </w:r>
      <w:r w:rsidR="00A76863">
        <w:rPr>
          <w:rFonts w:cs="David"/>
          <w:spacing w:val="6"/>
          <w:sz w:val="24"/>
          <w:szCs w:val="24"/>
          <w:rtl/>
        </w:rPr>
        <w:t xml:space="preserve"> הכבוד, לא </w:t>
      </w:r>
      <w:r>
        <w:rPr>
          <w:rFonts w:cs="David" w:hint="cs"/>
          <w:spacing w:val="6"/>
          <w:sz w:val="24"/>
          <w:szCs w:val="24"/>
          <w:rtl/>
        </w:rPr>
        <w:t xml:space="preserve">הצלחתי לרדת </w:t>
      </w:r>
      <w:r w:rsidR="00A76863">
        <w:rPr>
          <w:rFonts w:cs="David"/>
          <w:spacing w:val="6"/>
          <w:sz w:val="24"/>
          <w:szCs w:val="24"/>
          <w:rtl/>
        </w:rPr>
        <w:t xml:space="preserve">לסוף דעתו של הנתבע בטענה זו. </w:t>
      </w:r>
    </w:p>
    <w:p w:rsidR="00A76863" w:rsidRDefault="00A76863" w:rsidP="00A76863">
      <w:pPr>
        <w:pStyle w:val="ad"/>
        <w:spacing w:after="0" w:line="306" w:lineRule="exact"/>
        <w:ind w:left="509"/>
        <w:jc w:val="both"/>
        <w:rPr>
          <w:rFonts w:cs="David"/>
          <w:spacing w:val="6"/>
          <w:sz w:val="24"/>
          <w:szCs w:val="24"/>
          <w:rtl/>
        </w:rPr>
      </w:pPr>
    </w:p>
    <w:p w:rsidR="00A76863" w:rsidRDefault="00A76863" w:rsidP="00086379">
      <w:pPr>
        <w:pStyle w:val="ad"/>
        <w:spacing w:after="0" w:line="306" w:lineRule="exact"/>
        <w:ind w:left="509"/>
        <w:jc w:val="both"/>
        <w:rPr>
          <w:rFonts w:cs="David"/>
          <w:spacing w:val="6"/>
          <w:sz w:val="24"/>
          <w:szCs w:val="24"/>
          <w:rtl/>
        </w:rPr>
      </w:pPr>
      <w:r>
        <w:rPr>
          <w:rFonts w:cs="David"/>
          <w:spacing w:val="6"/>
          <w:sz w:val="24"/>
          <w:szCs w:val="24"/>
          <w:rtl/>
        </w:rPr>
        <w:t>התובעת זכתה לקבל את גיטה רק ביום 20.4.2021, כמעט שנתיים לאחר התחייבות הצדדים לפעול לסידור הגט. במועד הגשת התביעה דנן (ביום 2.11.2020) וכן במועד הגשת כתב ההגנה (ביום 17.1.2021), הנתבע מיאן ליתן לאישה גט על אף שהייתה תלויה ועומדת בבית הדין תביעת גירושין שהגישה האישה</w:t>
      </w:r>
      <w:r w:rsidR="00086379">
        <w:rPr>
          <w:rFonts w:cs="David" w:hint="cs"/>
          <w:spacing w:val="6"/>
          <w:sz w:val="24"/>
          <w:szCs w:val="24"/>
          <w:rtl/>
        </w:rPr>
        <w:t>,</w:t>
      </w:r>
      <w:r>
        <w:rPr>
          <w:rFonts w:cs="David"/>
          <w:spacing w:val="6"/>
          <w:sz w:val="24"/>
          <w:szCs w:val="24"/>
          <w:rtl/>
        </w:rPr>
        <w:t xml:space="preserve"> ואף בדיון שהתקיים בפני בית הדין המשיך הנתבע ועמד בסירובו ליתן לתובעת גט. </w:t>
      </w:r>
    </w:p>
    <w:p w:rsidR="00A76863" w:rsidRDefault="00A76863" w:rsidP="00A76863">
      <w:pPr>
        <w:pStyle w:val="ad"/>
        <w:spacing w:after="0" w:line="306" w:lineRule="exact"/>
        <w:ind w:left="509"/>
        <w:jc w:val="both"/>
        <w:rPr>
          <w:rFonts w:cs="David"/>
          <w:spacing w:val="6"/>
          <w:sz w:val="24"/>
          <w:szCs w:val="24"/>
          <w:rtl/>
        </w:rPr>
      </w:pPr>
    </w:p>
    <w:p w:rsidR="00A76863" w:rsidRDefault="00A76863" w:rsidP="00086379">
      <w:pPr>
        <w:pStyle w:val="ad"/>
        <w:spacing w:after="0" w:line="306" w:lineRule="exact"/>
        <w:ind w:left="509"/>
        <w:jc w:val="both"/>
        <w:rPr>
          <w:rFonts w:cs="David"/>
          <w:spacing w:val="6"/>
          <w:sz w:val="24"/>
          <w:szCs w:val="24"/>
          <w:rtl/>
        </w:rPr>
      </w:pPr>
      <w:r>
        <w:rPr>
          <w:rFonts w:cs="David"/>
          <w:spacing w:val="6"/>
          <w:sz w:val="24"/>
          <w:szCs w:val="24"/>
          <w:rtl/>
        </w:rPr>
        <w:t>אין בעובדה, כי בסופו של דבר נתרצה הנתבע ונאות ליתן לתובעת גט כדי להכשיר את העוולה או כדי "למחוק" את כל אותה תקופה בה הפר ברגל גסה את התחייבויותיו.</w:t>
      </w:r>
    </w:p>
    <w:p w:rsidR="00A76863" w:rsidRDefault="00A76863" w:rsidP="00A76863">
      <w:pPr>
        <w:pStyle w:val="ad"/>
        <w:spacing w:after="0" w:line="306" w:lineRule="exact"/>
        <w:ind w:left="509"/>
        <w:jc w:val="both"/>
        <w:rPr>
          <w:rFonts w:cs="David"/>
          <w:spacing w:val="6"/>
          <w:sz w:val="24"/>
          <w:szCs w:val="24"/>
          <w:rtl/>
        </w:rPr>
      </w:pPr>
    </w:p>
    <w:p w:rsidR="00A76863" w:rsidRDefault="00A76863" w:rsidP="00086379">
      <w:pPr>
        <w:pStyle w:val="ad"/>
        <w:spacing w:after="0" w:line="306" w:lineRule="exact"/>
        <w:ind w:left="509"/>
        <w:jc w:val="both"/>
        <w:rPr>
          <w:rFonts w:cs="David"/>
          <w:spacing w:val="6"/>
          <w:sz w:val="24"/>
          <w:szCs w:val="24"/>
          <w:rtl/>
        </w:rPr>
      </w:pPr>
      <w:r>
        <w:rPr>
          <w:rFonts w:cs="David"/>
          <w:spacing w:val="6"/>
          <w:sz w:val="24"/>
          <w:szCs w:val="24"/>
          <w:rtl/>
        </w:rPr>
        <w:t xml:space="preserve">עם זאת, וכפי שיבואר בהמשך הדברים, </w:t>
      </w:r>
      <w:r w:rsidR="00086379">
        <w:rPr>
          <w:rFonts w:cs="David"/>
          <w:spacing w:val="6"/>
          <w:sz w:val="24"/>
          <w:szCs w:val="24"/>
          <w:rtl/>
        </w:rPr>
        <w:t>במכלול השיקולים שעל בית המשפט להתחשב בקביעת שיעור הפיצוי</w:t>
      </w:r>
      <w:r w:rsidR="00086379">
        <w:rPr>
          <w:rFonts w:cs="David" w:hint="cs"/>
          <w:spacing w:val="6"/>
          <w:sz w:val="24"/>
          <w:szCs w:val="24"/>
          <w:rtl/>
        </w:rPr>
        <w:t xml:space="preserve">, </w:t>
      </w:r>
      <w:r>
        <w:rPr>
          <w:rFonts w:cs="David"/>
          <w:spacing w:val="6"/>
          <w:sz w:val="24"/>
          <w:szCs w:val="24"/>
          <w:rtl/>
        </w:rPr>
        <w:t>יש ליתן משקל לעובדה, כי במועד פסק הדין בינתיים נתן הנתבע גט לתובעת והותרו קשרי הנישואין ביניהם.</w:t>
      </w:r>
    </w:p>
    <w:p w:rsidR="00086379" w:rsidRDefault="00086379" w:rsidP="00A76863">
      <w:pPr>
        <w:pStyle w:val="ad"/>
        <w:spacing w:after="0" w:line="306" w:lineRule="exact"/>
        <w:ind w:left="509"/>
        <w:jc w:val="both"/>
        <w:rPr>
          <w:rFonts w:cs="David"/>
          <w:spacing w:val="6"/>
          <w:sz w:val="24"/>
          <w:szCs w:val="24"/>
        </w:rPr>
      </w:pPr>
    </w:p>
    <w:p w:rsidR="00A76863" w:rsidRDefault="00A76863" w:rsidP="00086379">
      <w:pPr>
        <w:pStyle w:val="ad"/>
        <w:numPr>
          <w:ilvl w:val="0"/>
          <w:numId w:val="2"/>
        </w:numPr>
        <w:spacing w:after="0" w:line="306" w:lineRule="exact"/>
        <w:ind w:left="509"/>
        <w:jc w:val="both"/>
        <w:rPr>
          <w:rFonts w:cs="David"/>
          <w:spacing w:val="6"/>
          <w:sz w:val="24"/>
          <w:szCs w:val="24"/>
        </w:rPr>
      </w:pPr>
      <w:r>
        <w:rPr>
          <w:rFonts w:cs="David"/>
          <w:spacing w:val="6"/>
          <w:sz w:val="24"/>
          <w:szCs w:val="24"/>
          <w:u w:val="single"/>
          <w:rtl/>
        </w:rPr>
        <w:t>הטענה בדבר מניעה לסידור הגט בשל מגורים משותפים של הצדדים</w:t>
      </w:r>
      <w:r>
        <w:rPr>
          <w:rFonts w:cs="David"/>
          <w:spacing w:val="6"/>
          <w:sz w:val="24"/>
          <w:szCs w:val="24"/>
          <w:rtl/>
        </w:rPr>
        <w:t xml:space="preserve"> – </w:t>
      </w:r>
    </w:p>
    <w:p w:rsidR="00A76863" w:rsidRPr="00086379" w:rsidRDefault="00A76863" w:rsidP="00A76863">
      <w:pPr>
        <w:pStyle w:val="ad"/>
        <w:spacing w:after="0" w:line="306" w:lineRule="exact"/>
        <w:rPr>
          <w:rFonts w:cs="David"/>
          <w:spacing w:val="6"/>
          <w:sz w:val="24"/>
          <w:szCs w:val="24"/>
        </w:rPr>
      </w:pPr>
    </w:p>
    <w:p w:rsidR="00A76863" w:rsidRDefault="00A76863" w:rsidP="00A76863">
      <w:pPr>
        <w:pStyle w:val="ad"/>
        <w:spacing w:after="0" w:line="306" w:lineRule="exact"/>
        <w:ind w:left="509"/>
        <w:jc w:val="both"/>
        <w:rPr>
          <w:rFonts w:cs="David"/>
          <w:spacing w:val="6"/>
          <w:sz w:val="24"/>
          <w:szCs w:val="24"/>
          <w:rtl/>
        </w:rPr>
      </w:pPr>
      <w:r>
        <w:rPr>
          <w:rFonts w:cs="David"/>
          <w:spacing w:val="6"/>
          <w:sz w:val="24"/>
          <w:szCs w:val="24"/>
          <w:rtl/>
        </w:rPr>
        <w:t xml:space="preserve">אין חולק, כי כדי שבית הדין יוכל היה לסדר את הגט בין הצדדים, היה על הצדדים על פי ההלכה היהודית להפריד לחלוטין את מגוריהם המשותפים. </w:t>
      </w:r>
    </w:p>
    <w:p w:rsidR="00A76863" w:rsidRDefault="00A76863" w:rsidP="00A76863">
      <w:pPr>
        <w:pStyle w:val="ad"/>
        <w:spacing w:after="0" w:line="306" w:lineRule="exact"/>
        <w:ind w:left="509"/>
        <w:jc w:val="both"/>
        <w:rPr>
          <w:rFonts w:cs="David"/>
          <w:spacing w:val="6"/>
          <w:sz w:val="24"/>
          <w:szCs w:val="24"/>
          <w:rtl/>
        </w:rPr>
      </w:pPr>
    </w:p>
    <w:p w:rsidR="00A76863" w:rsidRDefault="00A76863" w:rsidP="00086379">
      <w:pPr>
        <w:pStyle w:val="ad"/>
        <w:spacing w:after="0" w:line="306" w:lineRule="exact"/>
        <w:ind w:left="509"/>
        <w:jc w:val="both"/>
        <w:rPr>
          <w:rFonts w:cs="David"/>
          <w:spacing w:val="6"/>
          <w:sz w:val="24"/>
          <w:szCs w:val="24"/>
          <w:rtl/>
        </w:rPr>
      </w:pPr>
      <w:r>
        <w:rPr>
          <w:rFonts w:cs="David"/>
          <w:spacing w:val="6"/>
          <w:sz w:val="24"/>
          <w:szCs w:val="24"/>
          <w:rtl/>
        </w:rPr>
        <w:t xml:space="preserve">עוד אין חולק, כי הצדדים התגוררו תחת קורת גג אחת עד ליום 18.6.2020, </w:t>
      </w:r>
      <w:r w:rsidR="00086379">
        <w:rPr>
          <w:rFonts w:cs="David" w:hint="cs"/>
          <w:spacing w:val="6"/>
          <w:sz w:val="24"/>
          <w:szCs w:val="24"/>
          <w:rtl/>
        </w:rPr>
        <w:t xml:space="preserve">אז </w:t>
      </w:r>
      <w:r>
        <w:rPr>
          <w:rFonts w:cs="David"/>
          <w:spacing w:val="6"/>
          <w:sz w:val="24"/>
          <w:szCs w:val="24"/>
          <w:rtl/>
        </w:rPr>
        <w:t xml:space="preserve">עזבה התובעת את דירת המגורים. אניח לצורך הדיון, כי אכן, כטענת הנתבע, בפרק זמן זה לא ניתן היה לבצע את סידור הגט; אלא שבחינת התנהגות הנתבע מלמדת כי הטענה בדבר </w:t>
      </w:r>
      <w:r>
        <w:rPr>
          <w:rFonts w:cs="David"/>
          <w:spacing w:val="6"/>
          <w:sz w:val="24"/>
          <w:szCs w:val="24"/>
          <w:rtl/>
        </w:rPr>
        <w:lastRenderedPageBreak/>
        <w:t>"המניעה" הועלתה בחוסר תום לב מובהק והיא משמשת כעת לנתבע אצטלא להצדקת טיעוניו.</w:t>
      </w:r>
    </w:p>
    <w:p w:rsidR="00A76863" w:rsidRDefault="00A76863" w:rsidP="00A76863">
      <w:pPr>
        <w:pStyle w:val="ad"/>
        <w:spacing w:after="0" w:line="306" w:lineRule="exact"/>
        <w:ind w:left="509"/>
        <w:jc w:val="both"/>
        <w:rPr>
          <w:rFonts w:cs="David"/>
          <w:spacing w:val="6"/>
          <w:sz w:val="24"/>
          <w:szCs w:val="24"/>
          <w:rtl/>
        </w:rPr>
      </w:pPr>
      <w:r>
        <w:rPr>
          <w:rFonts w:cs="David"/>
          <w:spacing w:val="6"/>
          <w:sz w:val="24"/>
          <w:szCs w:val="24"/>
          <w:rtl/>
        </w:rPr>
        <w:t xml:space="preserve">  </w:t>
      </w:r>
    </w:p>
    <w:p w:rsidR="00A76863" w:rsidRDefault="00A76863" w:rsidP="00A76863">
      <w:pPr>
        <w:pStyle w:val="ad"/>
        <w:numPr>
          <w:ilvl w:val="0"/>
          <w:numId w:val="5"/>
        </w:numPr>
        <w:spacing w:after="0" w:line="306" w:lineRule="exact"/>
        <w:jc w:val="both"/>
        <w:rPr>
          <w:rFonts w:cs="David"/>
          <w:spacing w:val="6"/>
          <w:sz w:val="24"/>
          <w:szCs w:val="24"/>
          <w:rtl/>
        </w:rPr>
      </w:pPr>
      <w:r>
        <w:rPr>
          <w:rFonts w:cs="David"/>
          <w:b/>
          <w:bCs/>
          <w:spacing w:val="6"/>
          <w:sz w:val="24"/>
          <w:szCs w:val="24"/>
          <w:rtl/>
        </w:rPr>
        <w:t>ראשית</w:t>
      </w:r>
      <w:r>
        <w:rPr>
          <w:rFonts w:cs="David"/>
          <w:spacing w:val="6"/>
          <w:sz w:val="24"/>
          <w:szCs w:val="24"/>
          <w:rtl/>
        </w:rPr>
        <w:t xml:space="preserve">, הדיון שנקבע בבית הדין בבקשה שהגישה התובעת לגירושין (ת/ב') בוטל לאחר שהנתבע הודיע לבית הדין כי הוא מסרב ליתן גט, </w:t>
      </w:r>
      <w:r>
        <w:rPr>
          <w:rFonts w:cs="David"/>
          <w:b/>
          <w:bCs/>
          <w:spacing w:val="6"/>
          <w:sz w:val="24"/>
          <w:szCs w:val="24"/>
          <w:rtl/>
        </w:rPr>
        <w:t>מבלי שציין ולו ברמז כי סירובו זה נעוץ במגורים המשותפים, אלא טען כי רצונו בשלום בית</w:t>
      </w:r>
      <w:r>
        <w:rPr>
          <w:rFonts w:cs="David"/>
          <w:spacing w:val="6"/>
          <w:sz w:val="24"/>
          <w:szCs w:val="24"/>
          <w:rtl/>
        </w:rPr>
        <w:t>; וזו לשון הודעתו: "</w:t>
      </w:r>
      <w:r>
        <w:rPr>
          <w:rFonts w:ascii="Miriam" w:hAnsi="Miriam" w:cs="Miriam"/>
          <w:spacing w:val="6"/>
          <w:sz w:val="24"/>
          <w:szCs w:val="24"/>
          <w:rtl/>
        </w:rPr>
        <w:t>אני מודיע בזאת לבטל את הדיון בבית הדין הרבני שנקבע תאריך י"ז אב לסידור גט מפני שאני חוזר בי מההסכמה לגירושין ורוצה שלום בית ומאחר וכך איני מגיע לדיון</w:t>
      </w:r>
      <w:r>
        <w:rPr>
          <w:rFonts w:cs="David"/>
          <w:spacing w:val="6"/>
          <w:sz w:val="24"/>
          <w:szCs w:val="24"/>
          <w:rtl/>
        </w:rPr>
        <w:t xml:space="preserve">" (ת/ג'). </w:t>
      </w:r>
    </w:p>
    <w:p w:rsidR="00A76863" w:rsidRDefault="00A76863" w:rsidP="00A76863">
      <w:pPr>
        <w:pStyle w:val="ad"/>
        <w:spacing w:after="0" w:line="306" w:lineRule="exact"/>
        <w:ind w:left="869"/>
        <w:jc w:val="both"/>
        <w:rPr>
          <w:rFonts w:cs="David"/>
          <w:spacing w:val="6"/>
          <w:sz w:val="24"/>
          <w:szCs w:val="24"/>
        </w:rPr>
      </w:pPr>
    </w:p>
    <w:p w:rsidR="00A76863" w:rsidRDefault="00A76863" w:rsidP="00A76863">
      <w:pPr>
        <w:pStyle w:val="ad"/>
        <w:spacing w:after="0" w:line="306" w:lineRule="exact"/>
        <w:ind w:left="869"/>
        <w:jc w:val="both"/>
        <w:rPr>
          <w:rFonts w:cs="David"/>
          <w:spacing w:val="6"/>
          <w:sz w:val="24"/>
          <w:szCs w:val="24"/>
        </w:rPr>
      </w:pPr>
      <w:r>
        <w:rPr>
          <w:rFonts w:cs="David"/>
          <w:spacing w:val="6"/>
          <w:sz w:val="24"/>
          <w:szCs w:val="24"/>
          <w:rtl/>
        </w:rPr>
        <w:t>לנוכח הודעת הנתבע, הורה בית הדין על ביטול הדיון שנקבע וכך קבע: "</w:t>
      </w:r>
      <w:r>
        <w:rPr>
          <w:rFonts w:ascii="Miriam" w:hAnsi="Miriam" w:cs="Miriam"/>
          <w:spacing w:val="6"/>
          <w:sz w:val="24"/>
          <w:szCs w:val="24"/>
          <w:rtl/>
        </w:rPr>
        <w:t>לצדדים קבוע מועד לדיון ליום 18.8.19. המבקש הודיע לבית הדין כי איננו מסכים להתגרש ומבקש לבטל את הדיון הנ"ל. לאחר העיון בבקשה ביה"ד נענה לבקשה והדיון הנ"ל מבוטל וזאת מאחר ותיק זה נפתח בהסכמת הצדדים ובהעדר הסכמה אין אפשרות לדון בתיק זה</w:t>
      </w:r>
      <w:r>
        <w:rPr>
          <w:rFonts w:cs="David"/>
          <w:spacing w:val="6"/>
          <w:sz w:val="24"/>
          <w:szCs w:val="24"/>
          <w:rtl/>
        </w:rPr>
        <w:t>" (ת/ד').</w:t>
      </w:r>
    </w:p>
    <w:p w:rsidR="00A76863" w:rsidRDefault="00A76863" w:rsidP="00A76863">
      <w:pPr>
        <w:pStyle w:val="ad"/>
        <w:spacing w:after="0" w:line="306" w:lineRule="exact"/>
        <w:ind w:left="869"/>
        <w:jc w:val="both"/>
        <w:rPr>
          <w:rFonts w:cs="David"/>
          <w:spacing w:val="6"/>
          <w:sz w:val="24"/>
          <w:szCs w:val="24"/>
          <w:rtl/>
        </w:rPr>
      </w:pPr>
    </w:p>
    <w:p w:rsidR="00A76863" w:rsidRDefault="00A76863" w:rsidP="00086379">
      <w:pPr>
        <w:pStyle w:val="ad"/>
        <w:spacing w:after="0" w:line="306" w:lineRule="exact"/>
        <w:ind w:left="869"/>
        <w:jc w:val="both"/>
        <w:rPr>
          <w:rFonts w:cs="David"/>
          <w:spacing w:val="6"/>
          <w:sz w:val="24"/>
          <w:szCs w:val="24"/>
          <w:rtl/>
        </w:rPr>
      </w:pPr>
      <w:r>
        <w:rPr>
          <w:rFonts w:cs="David"/>
          <w:spacing w:val="6"/>
          <w:sz w:val="24"/>
          <w:szCs w:val="24"/>
          <w:rtl/>
        </w:rPr>
        <w:t xml:space="preserve">הנה כי כן, הבקשה המשותפת שהגישה התובעת לגירושין בהתאם להתחייבות הצדדים לא נידונה בפני בית הדין, </w:t>
      </w:r>
      <w:r>
        <w:rPr>
          <w:rFonts w:cs="David"/>
          <w:b/>
          <w:bCs/>
          <w:spacing w:val="6"/>
          <w:sz w:val="24"/>
          <w:szCs w:val="24"/>
          <w:rtl/>
        </w:rPr>
        <w:t xml:space="preserve">לא בשל מגוריהם המשותפים, אלא בשל סירובו המפורש של </w:t>
      </w:r>
      <w:r w:rsidR="00086379">
        <w:rPr>
          <w:rFonts w:cs="David" w:hint="cs"/>
          <w:b/>
          <w:bCs/>
          <w:spacing w:val="6"/>
          <w:sz w:val="24"/>
          <w:szCs w:val="24"/>
          <w:rtl/>
        </w:rPr>
        <w:t xml:space="preserve">הנתבע </w:t>
      </w:r>
      <w:r>
        <w:rPr>
          <w:rFonts w:cs="David"/>
          <w:b/>
          <w:bCs/>
          <w:spacing w:val="6"/>
          <w:sz w:val="24"/>
          <w:szCs w:val="24"/>
          <w:rtl/>
        </w:rPr>
        <w:t>להתגרש ורצונו בשלום בית</w:t>
      </w:r>
      <w:r>
        <w:rPr>
          <w:rFonts w:cs="David"/>
          <w:spacing w:val="6"/>
          <w:sz w:val="24"/>
          <w:szCs w:val="24"/>
          <w:rtl/>
        </w:rPr>
        <w:t>. יש לציין, כי גם בחקירתו הנגדית שב ואישר הנתבע כי סירובו ליתן גט נעוץ ברצונו בשלום בית (עמ' 29, ש' 28-27).</w:t>
      </w:r>
    </w:p>
    <w:p w:rsidR="00A76863" w:rsidRDefault="00A76863" w:rsidP="00A76863">
      <w:pPr>
        <w:spacing w:line="306" w:lineRule="exact"/>
        <w:jc w:val="both"/>
        <w:rPr>
          <w:spacing w:val="6"/>
        </w:rPr>
      </w:pPr>
    </w:p>
    <w:p w:rsidR="00A76863" w:rsidRDefault="00A76863" w:rsidP="00A76863">
      <w:pPr>
        <w:pStyle w:val="ad"/>
        <w:numPr>
          <w:ilvl w:val="0"/>
          <w:numId w:val="5"/>
        </w:numPr>
        <w:spacing w:after="0" w:line="306" w:lineRule="exact"/>
        <w:jc w:val="both"/>
        <w:rPr>
          <w:rFonts w:cs="David"/>
          <w:spacing w:val="6"/>
          <w:sz w:val="24"/>
          <w:szCs w:val="24"/>
        </w:rPr>
      </w:pPr>
      <w:r>
        <w:rPr>
          <w:rFonts w:cs="David"/>
          <w:b/>
          <w:bCs/>
          <w:spacing w:val="6"/>
          <w:sz w:val="24"/>
          <w:szCs w:val="24"/>
          <w:rtl/>
        </w:rPr>
        <w:t>שנית</w:t>
      </w:r>
      <w:r>
        <w:rPr>
          <w:rFonts w:cs="David"/>
          <w:spacing w:val="6"/>
          <w:sz w:val="24"/>
          <w:szCs w:val="24"/>
          <w:rtl/>
        </w:rPr>
        <w:t xml:space="preserve">, במועד בו הצדדים חתמו על ההסכם הם התגוררו תחת קורת גג אחת, ובכל זאת התחייבו להגיש בקשה משותפת לגירושין תוך 7 ימים; כאמור, המדובר בהתחייבות חוזית תקפה ומחייבת. </w:t>
      </w:r>
    </w:p>
    <w:p w:rsidR="00A76863" w:rsidRDefault="00A76863" w:rsidP="00A76863">
      <w:pPr>
        <w:pStyle w:val="ad"/>
        <w:spacing w:after="0" w:line="306" w:lineRule="exact"/>
        <w:ind w:left="869"/>
        <w:jc w:val="both"/>
        <w:rPr>
          <w:rFonts w:cs="David"/>
          <w:b/>
          <w:bCs/>
          <w:spacing w:val="6"/>
          <w:sz w:val="24"/>
          <w:szCs w:val="24"/>
        </w:rPr>
      </w:pPr>
    </w:p>
    <w:p w:rsidR="00A76863" w:rsidRDefault="00A76863" w:rsidP="007B1559">
      <w:pPr>
        <w:pStyle w:val="ad"/>
        <w:spacing w:after="0" w:line="306" w:lineRule="exact"/>
        <w:ind w:left="869"/>
        <w:jc w:val="both"/>
        <w:rPr>
          <w:rFonts w:cs="David"/>
          <w:spacing w:val="6"/>
          <w:sz w:val="24"/>
          <w:szCs w:val="24"/>
          <w:rtl/>
        </w:rPr>
      </w:pPr>
      <w:r>
        <w:rPr>
          <w:rFonts w:cs="David"/>
          <w:spacing w:val="6"/>
          <w:sz w:val="24"/>
          <w:szCs w:val="24"/>
          <w:rtl/>
        </w:rPr>
        <w:t xml:space="preserve">בעת חתימת ההסכם, כל אחד מהצדדים היה מיוצג על ידי עורכי דין מתחום דיני המשפחה, ועל כן </w:t>
      </w:r>
      <w:r>
        <w:rPr>
          <w:rFonts w:cs="David"/>
          <w:b/>
          <w:bCs/>
          <w:spacing w:val="6"/>
          <w:sz w:val="24"/>
          <w:szCs w:val="24"/>
          <w:rtl/>
        </w:rPr>
        <w:t>חזקה שכל אחד מהם היה מודע לאותה "מניעה" לכאורה להסדר הגירושין ובכל זאת ניתנה הסכמתו, מרצון ומדעת, לביצוע סידור הגט תוך פרק הזמן שנקבע</w:t>
      </w:r>
      <w:r>
        <w:rPr>
          <w:rFonts w:cs="David"/>
          <w:spacing w:val="6"/>
          <w:sz w:val="24"/>
          <w:szCs w:val="24"/>
          <w:rtl/>
        </w:rPr>
        <w:t>.</w:t>
      </w:r>
    </w:p>
    <w:p w:rsidR="00A76863" w:rsidRDefault="00A76863" w:rsidP="00A76863">
      <w:pPr>
        <w:pStyle w:val="ad"/>
        <w:spacing w:after="0" w:line="306" w:lineRule="exact"/>
        <w:ind w:left="869"/>
        <w:jc w:val="both"/>
        <w:rPr>
          <w:rFonts w:cs="David"/>
          <w:spacing w:val="6"/>
          <w:sz w:val="24"/>
          <w:szCs w:val="24"/>
          <w:rtl/>
        </w:rPr>
      </w:pPr>
    </w:p>
    <w:p w:rsidR="00A76863" w:rsidRDefault="00A76863" w:rsidP="007B1559">
      <w:pPr>
        <w:pStyle w:val="ad"/>
        <w:spacing w:after="0" w:line="306" w:lineRule="exact"/>
        <w:ind w:left="869"/>
        <w:jc w:val="both"/>
        <w:rPr>
          <w:rFonts w:cs="David"/>
          <w:spacing w:val="6"/>
          <w:sz w:val="24"/>
          <w:szCs w:val="24"/>
          <w:rtl/>
        </w:rPr>
      </w:pPr>
      <w:r>
        <w:rPr>
          <w:rFonts w:cs="David"/>
          <w:spacing w:val="6"/>
          <w:sz w:val="24"/>
          <w:szCs w:val="24"/>
          <w:rtl/>
        </w:rPr>
        <w:t>תשובתו של הנתבע בחקירתו הנגדית מלמדת על ידיעתו את המצב המשפטי לאשורו: "</w:t>
      </w:r>
      <w:r>
        <w:rPr>
          <w:rFonts w:ascii="Miriam" w:hAnsi="Miriam" w:cs="Miriam"/>
          <w:b/>
          <w:bCs/>
          <w:spacing w:val="6"/>
          <w:sz w:val="24"/>
          <w:szCs w:val="24"/>
          <w:rtl/>
        </w:rPr>
        <w:t>ש: אתה ב 11.7.19 ידעת את אותם דברים שידעת לאחר מכן, אז למה התחייבת בבית המשפט?</w:t>
      </w:r>
      <w:r w:rsidR="007B1559">
        <w:rPr>
          <w:rFonts w:ascii="Miriam" w:hAnsi="Miriam" w:cs="Miriam" w:hint="cs"/>
          <w:spacing w:val="6"/>
          <w:sz w:val="24"/>
          <w:szCs w:val="24"/>
          <w:rtl/>
        </w:rPr>
        <w:t xml:space="preserve"> </w:t>
      </w:r>
      <w:r w:rsidR="007B1559" w:rsidRPr="007B1559">
        <w:rPr>
          <w:rFonts w:ascii="Miriam" w:hAnsi="Miriam" w:cs="Miriam"/>
          <w:spacing w:val="6"/>
          <w:sz w:val="24"/>
          <w:szCs w:val="24"/>
          <w:rtl/>
        </w:rPr>
        <w:t xml:space="preserve">ת: </w:t>
      </w:r>
      <w:r>
        <w:rPr>
          <w:rFonts w:ascii="Miriam" w:hAnsi="Miriam" w:cs="Miriam"/>
          <w:spacing w:val="6"/>
          <w:sz w:val="24"/>
          <w:szCs w:val="24"/>
          <w:rtl/>
        </w:rPr>
        <w:t>מה זה קשור? ידעתי את הדברים האלה. זה לא סותר. יש את הצד המשפטי ויש את הצד ההלכתי</w:t>
      </w:r>
      <w:r>
        <w:rPr>
          <w:rFonts w:cs="David"/>
          <w:spacing w:val="6"/>
          <w:sz w:val="24"/>
          <w:szCs w:val="24"/>
          <w:rtl/>
        </w:rPr>
        <w:t xml:space="preserve">" (עמ' 30, ש' 13-11). </w:t>
      </w:r>
    </w:p>
    <w:p w:rsidR="00A76863" w:rsidRDefault="00A76863" w:rsidP="00A76863">
      <w:pPr>
        <w:pStyle w:val="ad"/>
        <w:spacing w:after="0" w:line="306" w:lineRule="exact"/>
        <w:ind w:left="869"/>
        <w:jc w:val="both"/>
        <w:rPr>
          <w:rFonts w:cs="David"/>
          <w:spacing w:val="6"/>
          <w:sz w:val="24"/>
          <w:szCs w:val="24"/>
        </w:rPr>
      </w:pPr>
    </w:p>
    <w:p w:rsidR="00A76863" w:rsidRDefault="00A76863" w:rsidP="00A76863">
      <w:pPr>
        <w:pStyle w:val="ad"/>
        <w:numPr>
          <w:ilvl w:val="0"/>
          <w:numId w:val="5"/>
        </w:numPr>
        <w:spacing w:after="0" w:line="306" w:lineRule="exact"/>
        <w:jc w:val="both"/>
        <w:rPr>
          <w:rFonts w:cs="David"/>
          <w:spacing w:val="6"/>
          <w:sz w:val="24"/>
          <w:szCs w:val="24"/>
        </w:rPr>
      </w:pPr>
      <w:r>
        <w:rPr>
          <w:rFonts w:cs="David"/>
          <w:b/>
          <w:bCs/>
          <w:spacing w:val="6"/>
          <w:sz w:val="24"/>
          <w:szCs w:val="24"/>
          <w:rtl/>
        </w:rPr>
        <w:t>שלישית</w:t>
      </w:r>
      <w:r>
        <w:rPr>
          <w:rFonts w:cs="David"/>
          <w:spacing w:val="6"/>
          <w:sz w:val="24"/>
          <w:szCs w:val="24"/>
          <w:rtl/>
        </w:rPr>
        <w:t xml:space="preserve">, אין כל מניעה לעצם הגשת בקשה משותפת לגירושין גם אם בני זוג חיים תחת קורת גג אחת; </w:t>
      </w:r>
      <w:r>
        <w:rPr>
          <w:rFonts w:cs="David"/>
          <w:b/>
          <w:bCs/>
          <w:spacing w:val="6"/>
          <w:sz w:val="24"/>
          <w:szCs w:val="24"/>
          <w:rtl/>
        </w:rPr>
        <w:t>האיסור בהלכה היהודית</w:t>
      </w:r>
      <w:r>
        <w:rPr>
          <w:rFonts w:cs="David"/>
          <w:spacing w:val="6"/>
          <w:sz w:val="24"/>
          <w:szCs w:val="24"/>
          <w:rtl/>
        </w:rPr>
        <w:t xml:space="preserve"> מתייחס להמשך מגורים </w:t>
      </w:r>
      <w:r>
        <w:rPr>
          <w:rFonts w:cs="David"/>
          <w:b/>
          <w:bCs/>
          <w:spacing w:val="6"/>
          <w:sz w:val="24"/>
          <w:szCs w:val="24"/>
          <w:rtl/>
        </w:rPr>
        <w:t>לאחר הגירושין וסידור הגט</w:t>
      </w:r>
      <w:r>
        <w:rPr>
          <w:rFonts w:cs="David"/>
          <w:spacing w:val="6"/>
          <w:sz w:val="24"/>
          <w:szCs w:val="24"/>
          <w:rtl/>
        </w:rPr>
        <w:t xml:space="preserve"> והוא נובע מהחשש שהמשך המגורים המשותפים יוביל לכדי ייחוד וקיום יחסי אישות בין בני הזוג, דבר שיוצר מצב של ספק נישואין ומצריך מתן גט נוסף; "</w:t>
      </w:r>
      <w:r>
        <w:rPr>
          <w:rFonts w:ascii="Miriam" w:hAnsi="Miriam" w:cs="Miriam"/>
          <w:spacing w:val="6"/>
          <w:sz w:val="24"/>
          <w:szCs w:val="24"/>
          <w:rtl/>
        </w:rPr>
        <w:t xml:space="preserve">וכן מי שגירש את אשתו מן הנישואין לא תדור עמו בחצר שמא יבואו </w:t>
      </w:r>
      <w:r>
        <w:rPr>
          <w:rFonts w:ascii="Miriam" w:hAnsi="Miriam" w:cs="Miriam"/>
          <w:spacing w:val="6"/>
          <w:sz w:val="24"/>
          <w:szCs w:val="24"/>
          <w:rtl/>
        </w:rPr>
        <w:lastRenderedPageBreak/>
        <w:t>לידי זנות, ואם היה כהן לא תדור עמו במבוי</w:t>
      </w:r>
      <w:r>
        <w:rPr>
          <w:rFonts w:cs="David"/>
          <w:spacing w:val="6"/>
          <w:sz w:val="24"/>
          <w:szCs w:val="24"/>
          <w:rtl/>
        </w:rPr>
        <w:t xml:space="preserve">" (הלכות איסור ביאה פרק כ"א הלכה כ"ז). </w:t>
      </w:r>
    </w:p>
    <w:p w:rsidR="00A76863" w:rsidRDefault="00A76863" w:rsidP="00A76863">
      <w:pPr>
        <w:pStyle w:val="ad"/>
        <w:spacing w:after="0" w:line="306" w:lineRule="exact"/>
        <w:rPr>
          <w:rFonts w:cs="David"/>
          <w:spacing w:val="6"/>
          <w:sz w:val="24"/>
          <w:szCs w:val="24"/>
        </w:rPr>
      </w:pPr>
    </w:p>
    <w:p w:rsidR="00A76863" w:rsidRDefault="00A76863" w:rsidP="00A76863">
      <w:pPr>
        <w:pStyle w:val="ad"/>
        <w:spacing w:after="0" w:line="306" w:lineRule="exact"/>
        <w:ind w:left="869"/>
        <w:jc w:val="both"/>
        <w:rPr>
          <w:rFonts w:cs="David"/>
          <w:spacing w:val="6"/>
          <w:sz w:val="24"/>
          <w:szCs w:val="24"/>
          <w:rtl/>
        </w:rPr>
      </w:pPr>
      <w:r>
        <w:rPr>
          <w:rFonts w:cs="David"/>
          <w:spacing w:val="6"/>
          <w:sz w:val="24"/>
          <w:szCs w:val="24"/>
          <w:rtl/>
        </w:rPr>
        <w:t>ככל שהייתה מוגשת בקשה משותפת לגירושין, כפי שהתחייבו הצדדים זה לזו, חזקה כי בית הדין היה מבהיר לצדדים, כי טרם סידור הגט או מיד לאחריו, עליהם להפריד את מגוריהם. אולם, הזדמנות שכזו לא נקרתה לצדדים, בשל סירובו של הנתבע להתייצב בבית הדין הרבני, תוך הודעה נחרצת כי הוא חזר בו מההסכמה והוא מבקש שלום בית.</w:t>
      </w:r>
    </w:p>
    <w:p w:rsidR="00A76863" w:rsidRDefault="00A76863" w:rsidP="00A76863">
      <w:pPr>
        <w:pStyle w:val="ad"/>
        <w:spacing w:after="0" w:line="306" w:lineRule="exact"/>
        <w:ind w:left="869"/>
        <w:jc w:val="both"/>
        <w:rPr>
          <w:rFonts w:cs="David"/>
          <w:spacing w:val="6"/>
          <w:sz w:val="24"/>
          <w:szCs w:val="24"/>
          <w:rtl/>
        </w:rPr>
      </w:pPr>
    </w:p>
    <w:p w:rsidR="00A76863" w:rsidRDefault="00A76863" w:rsidP="00580552">
      <w:pPr>
        <w:pStyle w:val="ad"/>
        <w:spacing w:after="0" w:line="306" w:lineRule="exact"/>
        <w:ind w:left="869"/>
        <w:jc w:val="both"/>
        <w:rPr>
          <w:rFonts w:cs="David"/>
          <w:spacing w:val="6"/>
          <w:sz w:val="24"/>
          <w:szCs w:val="24"/>
          <w:rtl/>
        </w:rPr>
      </w:pPr>
      <w:r>
        <w:rPr>
          <w:rFonts w:cs="David"/>
          <w:spacing w:val="6"/>
          <w:sz w:val="24"/>
          <w:szCs w:val="24"/>
          <w:rtl/>
        </w:rPr>
        <w:t>יוער, בהקשר לכך, כי בתעודת הגירושין (ת/י') צוין בתיבה של "</w:t>
      </w:r>
      <w:r>
        <w:rPr>
          <w:rFonts w:ascii="Miriam" w:hAnsi="Miriam" w:cs="Miriam"/>
          <w:spacing w:val="6"/>
          <w:sz w:val="24"/>
          <w:szCs w:val="24"/>
          <w:rtl/>
        </w:rPr>
        <w:t>מקום מגורים בזמן הגירושין</w:t>
      </w:r>
      <w:r>
        <w:rPr>
          <w:rFonts w:cs="David"/>
          <w:spacing w:val="6"/>
          <w:sz w:val="24"/>
          <w:szCs w:val="24"/>
          <w:rtl/>
        </w:rPr>
        <w:t xml:space="preserve">", הן של התובעת והן של הנתבע, כתובת מגוריהם המשותף (רח' </w:t>
      </w:r>
      <w:r w:rsidR="00580552">
        <w:rPr>
          <w:rFonts w:cs="David" w:hint="cs"/>
          <w:spacing w:val="6"/>
          <w:sz w:val="24"/>
          <w:szCs w:val="24"/>
        </w:rPr>
        <w:t>XXX</w:t>
      </w:r>
      <w:r>
        <w:rPr>
          <w:rFonts w:cs="David"/>
          <w:spacing w:val="6"/>
          <w:sz w:val="24"/>
          <w:szCs w:val="24"/>
          <w:rtl/>
        </w:rPr>
        <w:t xml:space="preserve"> </w:t>
      </w:r>
      <w:r w:rsidR="00580552">
        <w:rPr>
          <w:rFonts w:cs="David" w:hint="cs"/>
          <w:spacing w:val="6"/>
          <w:sz w:val="24"/>
          <w:szCs w:val="24"/>
          <w:rtl/>
        </w:rPr>
        <w:t>ב</w:t>
      </w:r>
      <w:r w:rsidR="00580552">
        <w:rPr>
          <w:rFonts w:cs="David" w:hint="cs"/>
          <w:spacing w:val="6"/>
          <w:sz w:val="24"/>
          <w:szCs w:val="24"/>
        </w:rPr>
        <w:t>XXX</w:t>
      </w:r>
      <w:r>
        <w:rPr>
          <w:rFonts w:cs="David"/>
          <w:spacing w:val="6"/>
          <w:sz w:val="24"/>
          <w:szCs w:val="24"/>
          <w:rtl/>
        </w:rPr>
        <w:t xml:space="preserve">); חרף כך בפועל לא הייתה מניעה מצד בית הדין לבצע את סידור הגט; נראה כי הטעם לכך נעוץ בכך שהאיסור ההלכתי מתייחס, כאמור לעיל, להמשך מגורים משותפים לאחר הגירושין וסידור הגט. </w:t>
      </w:r>
    </w:p>
    <w:p w:rsidR="00A76863" w:rsidRDefault="00A76863" w:rsidP="00A76863">
      <w:pPr>
        <w:pStyle w:val="ad"/>
        <w:spacing w:after="0" w:line="306" w:lineRule="exact"/>
        <w:rPr>
          <w:rFonts w:cs="David"/>
          <w:spacing w:val="6"/>
          <w:sz w:val="24"/>
          <w:szCs w:val="24"/>
        </w:rPr>
      </w:pPr>
    </w:p>
    <w:p w:rsidR="00A76863" w:rsidRDefault="00A76863" w:rsidP="007B1559">
      <w:pPr>
        <w:pStyle w:val="ad"/>
        <w:numPr>
          <w:ilvl w:val="0"/>
          <w:numId w:val="5"/>
        </w:numPr>
        <w:spacing w:after="0" w:line="306" w:lineRule="exact"/>
        <w:jc w:val="both"/>
        <w:rPr>
          <w:rFonts w:cs="David"/>
          <w:spacing w:val="6"/>
          <w:sz w:val="24"/>
          <w:szCs w:val="24"/>
          <w:rtl/>
        </w:rPr>
      </w:pPr>
      <w:r>
        <w:rPr>
          <w:rFonts w:cs="David"/>
          <w:spacing w:val="6"/>
          <w:sz w:val="24"/>
          <w:szCs w:val="24"/>
          <w:rtl/>
        </w:rPr>
        <w:t>ו</w:t>
      </w:r>
      <w:r>
        <w:rPr>
          <w:rFonts w:cs="David"/>
          <w:b/>
          <w:bCs/>
          <w:spacing w:val="6"/>
          <w:sz w:val="24"/>
          <w:szCs w:val="24"/>
          <w:rtl/>
        </w:rPr>
        <w:t>לבסוף</w:t>
      </w:r>
      <w:r>
        <w:rPr>
          <w:rFonts w:cs="David"/>
          <w:spacing w:val="6"/>
          <w:sz w:val="24"/>
          <w:szCs w:val="24"/>
          <w:rtl/>
        </w:rPr>
        <w:t xml:space="preserve">, גם לאחר שהמגורים הופרדו, כך שלכאורה לא הייתה כל מניעה לסידור הגט, </w:t>
      </w:r>
      <w:r>
        <w:rPr>
          <w:rFonts w:cs="David"/>
          <w:b/>
          <w:bCs/>
          <w:spacing w:val="6"/>
          <w:sz w:val="24"/>
          <w:szCs w:val="24"/>
          <w:rtl/>
        </w:rPr>
        <w:t>המשיך הנתבע להחזיק בסירובו למתן גט לתובעת</w:t>
      </w:r>
      <w:r>
        <w:rPr>
          <w:rFonts w:cs="David"/>
          <w:spacing w:val="6"/>
          <w:sz w:val="24"/>
          <w:szCs w:val="24"/>
          <w:rtl/>
        </w:rPr>
        <w:t>. בדיון שהתקיים בבית הדין ביום 23.12.2020 בתביעה הגירושין השנייה שהגישה האישה, הודיע הנתבע כי הוא מסרב ל</w:t>
      </w:r>
      <w:r w:rsidR="007B1559">
        <w:rPr>
          <w:rFonts w:cs="David" w:hint="cs"/>
          <w:spacing w:val="6"/>
          <w:sz w:val="24"/>
          <w:szCs w:val="24"/>
          <w:rtl/>
        </w:rPr>
        <w:t xml:space="preserve">יתן גט </w:t>
      </w:r>
      <w:r>
        <w:rPr>
          <w:rFonts w:cs="David"/>
          <w:spacing w:val="6"/>
          <w:sz w:val="24"/>
          <w:szCs w:val="24"/>
          <w:rtl/>
        </w:rPr>
        <w:t>לתובעת, עמד על כך שאין עילה הלכתית ל</w:t>
      </w:r>
      <w:r w:rsidR="007B1559">
        <w:rPr>
          <w:rFonts w:cs="David" w:hint="cs"/>
          <w:spacing w:val="6"/>
          <w:sz w:val="24"/>
          <w:szCs w:val="24"/>
          <w:rtl/>
        </w:rPr>
        <w:t xml:space="preserve">יתן </w:t>
      </w:r>
      <w:r>
        <w:rPr>
          <w:rFonts w:cs="David"/>
          <w:spacing w:val="6"/>
          <w:sz w:val="24"/>
          <w:szCs w:val="24"/>
          <w:rtl/>
        </w:rPr>
        <w:t>לה גט, ודרש לקיים דיון הוכחות בעניין (ת/ט'). לא התקבל הסבר מניח את הדעת (למעשה לא התקבל כל הסבר), למה המשיך הנתבע להחזיק בסירובו אם אותה "מניעה" כבר הוסרה.</w:t>
      </w:r>
    </w:p>
    <w:p w:rsidR="00A76863" w:rsidRDefault="00A76863" w:rsidP="00A76863">
      <w:pPr>
        <w:spacing w:line="306" w:lineRule="exact"/>
        <w:rPr>
          <w:spacing w:val="6"/>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u w:val="single"/>
          <w:rtl/>
        </w:rPr>
        <w:t>הטענה בדבר רצון לשלום בית</w:t>
      </w:r>
      <w:r>
        <w:rPr>
          <w:rFonts w:cs="David"/>
          <w:spacing w:val="6"/>
          <w:sz w:val="24"/>
          <w:szCs w:val="24"/>
          <w:rtl/>
        </w:rPr>
        <w:t xml:space="preserve"> – </w:t>
      </w:r>
    </w:p>
    <w:p w:rsidR="00A76863" w:rsidRDefault="00A76863" w:rsidP="00A76863">
      <w:pPr>
        <w:pStyle w:val="ad"/>
        <w:spacing w:after="0" w:line="306" w:lineRule="exact"/>
        <w:ind w:left="509"/>
        <w:jc w:val="both"/>
        <w:rPr>
          <w:rFonts w:cs="David"/>
          <w:spacing w:val="6"/>
          <w:sz w:val="24"/>
          <w:szCs w:val="24"/>
          <w:u w:val="single"/>
        </w:rPr>
      </w:pPr>
    </w:p>
    <w:p w:rsidR="00A76863" w:rsidRDefault="00A76863" w:rsidP="007B1559">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כאמור, הנתבע תירץ את סירובו בפני בית הדין ליתן גט בשל רצונו בשלום בית; אולם, עיון בהליכים המשפטיים שהתנהלו בין הצדדים והטענות הקשות שהופנו האחד כנגד משנהו, לרבות במסגרת בקשות לצו הגנה ו/או תלונות במשטרת ישראל, מלמדת שהנישואין </w:t>
      </w:r>
      <w:r w:rsidR="007B1559">
        <w:rPr>
          <w:rFonts w:ascii="David" w:hAnsi="David" w:cs="David" w:hint="cs"/>
          <w:spacing w:val="6"/>
          <w:sz w:val="24"/>
          <w:szCs w:val="24"/>
          <w:rtl/>
        </w:rPr>
        <w:t xml:space="preserve">זה מכבר </w:t>
      </w:r>
      <w:r>
        <w:rPr>
          <w:rFonts w:ascii="David" w:hAnsi="David" w:cs="David"/>
          <w:spacing w:val="6"/>
          <w:sz w:val="24"/>
          <w:szCs w:val="24"/>
          <w:rtl/>
        </w:rPr>
        <w:t xml:space="preserve">באו לקיצם </w:t>
      </w:r>
      <w:r w:rsidR="007B1559">
        <w:rPr>
          <w:rFonts w:ascii="David" w:hAnsi="David" w:cs="David" w:hint="cs"/>
          <w:spacing w:val="6"/>
          <w:sz w:val="24"/>
          <w:szCs w:val="24"/>
          <w:rtl/>
        </w:rPr>
        <w:t>כך ש</w:t>
      </w:r>
      <w:r>
        <w:rPr>
          <w:rFonts w:ascii="David" w:hAnsi="David" w:cs="David"/>
          <w:spacing w:val="6"/>
          <w:sz w:val="24"/>
          <w:szCs w:val="24"/>
          <w:rtl/>
        </w:rPr>
        <w:t xml:space="preserve">לא הייתה היתכנות לשלום בית ביניהם. </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7B1559">
      <w:pPr>
        <w:pStyle w:val="ad"/>
        <w:spacing w:after="0" w:line="306" w:lineRule="exact"/>
        <w:ind w:left="509"/>
        <w:jc w:val="both"/>
        <w:rPr>
          <w:rFonts w:cs="David"/>
          <w:spacing w:val="6"/>
          <w:sz w:val="24"/>
          <w:szCs w:val="24"/>
          <w:rtl/>
        </w:rPr>
      </w:pPr>
      <w:r>
        <w:rPr>
          <w:rFonts w:ascii="David" w:hAnsi="David" w:cs="David"/>
          <w:spacing w:val="6"/>
          <w:sz w:val="24"/>
          <w:szCs w:val="24"/>
          <w:rtl/>
        </w:rPr>
        <w:t>לעניין זה נקבע, כי "</w:t>
      </w:r>
      <w:r>
        <w:rPr>
          <w:rFonts w:ascii="Miriam" w:hAnsi="Miriam" w:cs="Miriam"/>
          <w:spacing w:val="6"/>
          <w:sz w:val="24"/>
          <w:szCs w:val="24"/>
          <w:rtl/>
        </w:rPr>
        <w:t>כך, סירוב להתגרש בדרישה לשלום בית עשוי, אולי, להיחשב לסביר ומקובל בפרק זמן מסויים, על רקע נסיבות מסויימות, כמו גם סירוב לגט שעה שמתנהל משא ומתן כן, תם-לב וענייני לקראת הסכם גירושין לתקופת המשא ומתן; אך ככל שחולפים ונוקפים הימים, שעה שבן הזוג השני מביע חוסר רצון עקבי לנסות ולשקם את המשפחה, שעה שאבדה התוחלת למשא ומתן נוכח עמדות קיצוניות של הצדדים או מי מהם, ושעה שברור כי קשר הנישואין הפך בינתיים לקליפה ריקה חסרת תוכן אמיתי – או אז עמידה בנסיבות כאלו על סירוב להתגרש עלולה להפוך לחסרת תום לב, ולבלתי סבירה</w:t>
      </w:r>
      <w:r>
        <w:rPr>
          <w:rFonts w:ascii="David" w:hAnsi="David" w:cs="David"/>
          <w:spacing w:val="6"/>
          <w:sz w:val="24"/>
          <w:szCs w:val="24"/>
          <w:rtl/>
        </w:rPr>
        <w:t>" [</w:t>
      </w:r>
      <w:r>
        <w:rPr>
          <w:rFonts w:ascii="Miriam" w:hAnsi="Miriam" w:cs="Miriam"/>
          <w:spacing w:val="6"/>
          <w:sz w:val="24"/>
          <w:szCs w:val="24"/>
          <w:rtl/>
        </w:rPr>
        <w:t>תמ"ש (י-ם) 39371-09-12 ש.ב.ע. נ' צ.ב.ע. (10.12.2013)</w:t>
      </w:r>
      <w:r>
        <w:rPr>
          <w:rFonts w:ascii="David" w:hAnsi="David" w:cs="David"/>
          <w:spacing w:val="6"/>
          <w:sz w:val="24"/>
          <w:szCs w:val="24"/>
          <w:rtl/>
        </w:rPr>
        <w:t>].</w:t>
      </w:r>
    </w:p>
    <w:p w:rsidR="00580552" w:rsidRDefault="00580552" w:rsidP="00A76863">
      <w:pPr>
        <w:pStyle w:val="ad"/>
        <w:spacing w:after="0" w:line="306" w:lineRule="exact"/>
        <w:ind w:left="509"/>
        <w:jc w:val="both"/>
        <w:rPr>
          <w:rFonts w:cs="David"/>
          <w:spacing w:val="6"/>
          <w:sz w:val="24"/>
          <w:szCs w:val="24"/>
          <w:rtl/>
        </w:rPr>
      </w:pPr>
    </w:p>
    <w:p w:rsidR="00580552" w:rsidRDefault="00580552" w:rsidP="00A76863">
      <w:pPr>
        <w:pStyle w:val="ad"/>
        <w:spacing w:after="0" w:line="306" w:lineRule="exact"/>
        <w:ind w:left="509"/>
        <w:jc w:val="both"/>
        <w:rPr>
          <w:rFonts w:cs="David"/>
          <w:spacing w:val="6"/>
          <w:sz w:val="24"/>
          <w:szCs w:val="24"/>
          <w:rtl/>
        </w:rPr>
      </w:pPr>
    </w:p>
    <w:p w:rsidR="00A76863" w:rsidRDefault="00A76863" w:rsidP="00A76863">
      <w:pPr>
        <w:pStyle w:val="ad"/>
        <w:spacing w:after="0" w:line="306" w:lineRule="exact"/>
        <w:ind w:left="509"/>
        <w:jc w:val="both"/>
        <w:rPr>
          <w:rFonts w:cs="David"/>
          <w:spacing w:val="6"/>
          <w:sz w:val="24"/>
          <w:szCs w:val="24"/>
        </w:rPr>
      </w:pPr>
      <w:r>
        <w:rPr>
          <w:rFonts w:cs="David"/>
          <w:spacing w:val="6"/>
          <w:sz w:val="24"/>
          <w:szCs w:val="24"/>
          <w:rtl/>
        </w:rPr>
        <w:t xml:space="preserve"> </w:t>
      </w: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spacing w:val="6"/>
          <w:sz w:val="24"/>
          <w:szCs w:val="24"/>
          <w:u w:val="single"/>
          <w:rtl/>
        </w:rPr>
        <w:lastRenderedPageBreak/>
        <w:t>הטענה בדבר העדר פעולה אקטיבית מצד התובעת לצורך גירושי הצדדים</w:t>
      </w:r>
      <w:r>
        <w:rPr>
          <w:rFonts w:cs="David"/>
          <w:spacing w:val="6"/>
          <w:sz w:val="24"/>
          <w:szCs w:val="24"/>
          <w:rtl/>
        </w:rPr>
        <w:t xml:space="preserve"> – </w:t>
      </w:r>
    </w:p>
    <w:p w:rsidR="00A76863" w:rsidRDefault="00A76863" w:rsidP="00A76863">
      <w:pPr>
        <w:pStyle w:val="ad"/>
        <w:spacing w:after="0" w:line="306" w:lineRule="exact"/>
        <w:ind w:left="509"/>
        <w:jc w:val="both"/>
        <w:rPr>
          <w:rFonts w:cs="David"/>
          <w:spacing w:val="6"/>
          <w:sz w:val="24"/>
          <w:szCs w:val="24"/>
        </w:rPr>
      </w:pPr>
    </w:p>
    <w:p w:rsidR="00A76863" w:rsidRDefault="00A76863" w:rsidP="007B1559">
      <w:pPr>
        <w:pStyle w:val="ad"/>
        <w:spacing w:after="0" w:line="306" w:lineRule="exact"/>
        <w:ind w:left="509"/>
        <w:jc w:val="both"/>
        <w:rPr>
          <w:rFonts w:cs="David"/>
          <w:spacing w:val="6"/>
          <w:sz w:val="24"/>
          <w:szCs w:val="24"/>
          <w:rtl/>
        </w:rPr>
      </w:pPr>
      <w:r>
        <w:rPr>
          <w:rFonts w:cs="David"/>
          <w:spacing w:val="6"/>
          <w:sz w:val="24"/>
          <w:szCs w:val="24"/>
          <w:rtl/>
        </w:rPr>
        <w:t>לא התרשמתי, כי התובעת נמנעה מלעשות פעולה אקטיבית לצורך גירושי הצדדים; אדרבא, הוגשה על ידה תביעת גירושין משותפת ביום 16.7.2019; לאחר מכן הוגשה על ידה תביעת גירושין נוספת ביום 14.7.2020; ולאחר מכן, נעשו פניות מצד בא כוחה אל בא כוח</w:t>
      </w:r>
      <w:r w:rsidR="007B1559">
        <w:rPr>
          <w:rFonts w:cs="David" w:hint="cs"/>
          <w:spacing w:val="6"/>
          <w:sz w:val="24"/>
          <w:szCs w:val="24"/>
          <w:rtl/>
        </w:rPr>
        <w:t>ו</w:t>
      </w:r>
      <w:r>
        <w:rPr>
          <w:rFonts w:cs="David"/>
          <w:spacing w:val="6"/>
          <w:sz w:val="24"/>
          <w:szCs w:val="24"/>
          <w:rtl/>
        </w:rPr>
        <w:t xml:space="preserve"> של הנתבע המתרות ב</w:t>
      </w:r>
      <w:r w:rsidR="007B1559">
        <w:rPr>
          <w:rFonts w:cs="David" w:hint="cs"/>
          <w:spacing w:val="6"/>
          <w:sz w:val="24"/>
          <w:szCs w:val="24"/>
          <w:rtl/>
        </w:rPr>
        <w:t>נתבע ש</w:t>
      </w:r>
      <w:r>
        <w:rPr>
          <w:rFonts w:cs="David"/>
          <w:spacing w:val="6"/>
          <w:sz w:val="24"/>
          <w:szCs w:val="24"/>
          <w:rtl/>
        </w:rPr>
        <w:t xml:space="preserve">הוא מפר הפרה יסודית </w:t>
      </w:r>
      <w:r w:rsidR="007B1559">
        <w:rPr>
          <w:rFonts w:cs="David" w:hint="cs"/>
          <w:spacing w:val="6"/>
          <w:sz w:val="24"/>
          <w:szCs w:val="24"/>
          <w:rtl/>
        </w:rPr>
        <w:t xml:space="preserve">את </w:t>
      </w:r>
      <w:r>
        <w:rPr>
          <w:rFonts w:cs="David"/>
          <w:spacing w:val="6"/>
          <w:sz w:val="24"/>
          <w:szCs w:val="24"/>
          <w:rtl/>
        </w:rPr>
        <w:t xml:space="preserve">הסכם הגירושין (ר' מכתב מיום 7.10.2020 </w:t>
      </w:r>
      <w:r w:rsidR="007B1559">
        <w:rPr>
          <w:rFonts w:cs="David" w:hint="cs"/>
          <w:spacing w:val="6"/>
          <w:sz w:val="24"/>
          <w:szCs w:val="24"/>
          <w:rtl/>
        </w:rPr>
        <w:t>(</w:t>
      </w:r>
      <w:r>
        <w:rPr>
          <w:rFonts w:cs="David"/>
          <w:spacing w:val="6"/>
          <w:sz w:val="24"/>
          <w:szCs w:val="24"/>
          <w:rtl/>
        </w:rPr>
        <w:t>ת/ה'); ומכתב מיום 29.10.2020 (ת/ו'); ומשלא נותרה בידה ברירה הגישה התובעת את התובענה דנן ביום 2.11.2020.</w:t>
      </w:r>
    </w:p>
    <w:p w:rsidR="00A76863" w:rsidRDefault="00A76863" w:rsidP="00A76863">
      <w:pPr>
        <w:pStyle w:val="ad"/>
        <w:spacing w:after="0" w:line="306" w:lineRule="exact"/>
        <w:ind w:left="509"/>
        <w:jc w:val="both"/>
        <w:rPr>
          <w:rFonts w:cs="David"/>
          <w:spacing w:val="6"/>
          <w:sz w:val="24"/>
          <w:szCs w:val="24"/>
          <w:rtl/>
        </w:rPr>
      </w:pPr>
    </w:p>
    <w:p w:rsidR="00A76863" w:rsidRDefault="00A76863" w:rsidP="00580552">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ערה אני לכך, כי לאחר שהנתבע חזר בו מהתחייבותו ליתן גט כך שהבקשה שהגישה לבית הדין הרבני לא נידונה, לא פעלה התובעת להגיש מייד תביעת גירושין נוספת לבית הדין לחיוב הנתבע במתן גט. עם זאת, בנסיבות דנן, ובהתחשב בעובדה כי הייתה קיימת התחייבות לגירושין, מקובלים עליי ההסברים שסיפקה התובעת בחקירתה נגדית: "</w:t>
      </w:r>
      <w:r>
        <w:rPr>
          <w:rFonts w:ascii="Miriam" w:hAnsi="Miriam" w:cs="Miriam"/>
          <w:spacing w:val="6"/>
          <w:sz w:val="24"/>
          <w:szCs w:val="24"/>
          <w:rtl/>
        </w:rPr>
        <w:t>א. מכיוון שרציתי לעשות את זה בכפפות של משי כי גם ככה ה</w:t>
      </w:r>
      <w:r w:rsidR="007B1559">
        <w:rPr>
          <w:rFonts w:ascii="Miriam" w:hAnsi="Miriam" w:cs="Miriam" w:hint="cs"/>
          <w:spacing w:val="6"/>
          <w:sz w:val="24"/>
          <w:szCs w:val="24"/>
          <w:rtl/>
        </w:rPr>
        <w:t>י</w:t>
      </w:r>
      <w:r>
        <w:rPr>
          <w:rFonts w:ascii="Miriam" w:hAnsi="Miriam" w:cs="Miriam"/>
          <w:spacing w:val="6"/>
          <w:sz w:val="24"/>
          <w:szCs w:val="24"/>
          <w:rtl/>
        </w:rPr>
        <w:t>יתה התלהמות ואלימות וכאוס מבחינתו של א</w:t>
      </w:r>
      <w:r w:rsidR="00580552">
        <w:rPr>
          <w:rFonts w:ascii="Miriam" w:hAnsi="Miriam" w:cs="Miriam" w:hint="cs"/>
          <w:spacing w:val="6"/>
          <w:sz w:val="24"/>
          <w:szCs w:val="24"/>
          <w:rtl/>
        </w:rPr>
        <w:t>'</w:t>
      </w:r>
      <w:r>
        <w:rPr>
          <w:rFonts w:ascii="Miriam" w:hAnsi="Miriam" w:cs="Miriam"/>
          <w:spacing w:val="6"/>
          <w:sz w:val="24"/>
          <w:szCs w:val="24"/>
          <w:rtl/>
        </w:rPr>
        <w:t xml:space="preserve"> כלפי מכיוון שהעזתי לבקש להתגרש ממנו, וידוע לך ואתה היית נוכח במעמד המפגשים בינינו לבין העו"ד שייצגה אותי בזמנו במשרד של שרית נדלר, שניסינו להגיע להסכמות כביכול הסכמות כאשר זה כל פגישה כזאת העלתה חרס בידה ובכל הפגישות שהיו רק הושפלתי וגודפתי על ידי א</w:t>
      </w:r>
      <w:r w:rsidR="00580552">
        <w:rPr>
          <w:rFonts w:ascii="Miriam" w:hAnsi="Miriam" w:cs="Miriam" w:hint="cs"/>
          <w:spacing w:val="6"/>
          <w:sz w:val="24"/>
          <w:szCs w:val="24"/>
          <w:rtl/>
        </w:rPr>
        <w:t>'</w:t>
      </w:r>
      <w:r>
        <w:rPr>
          <w:rFonts w:ascii="Miriam" w:hAnsi="Miriam" w:cs="Miriam"/>
          <w:spacing w:val="6"/>
          <w:sz w:val="24"/>
          <w:szCs w:val="24"/>
          <w:rtl/>
        </w:rPr>
        <w:t xml:space="preserve"> באותם מפגשים ומעבר לכך לא הגענו לשום עמק השווה אבל נתתי הזדמנות שנעשה את זה בצורה של הסכמה בצורה יפה ומכובדת. היה עוד איזה ניסיון לאחר שכבר נסגר התיק ברבני ניסינו שוב ביחידת הסיוע שגם ניסו לגשר שוב למרות שהתיק שם נסגר, בית המשפט הפנה אותנו שוב וגם זה העלה חרס. בטווח הזמנים החזקתי את עצמי כדי שנגיע כבר להסכמות בנוגע לגט וזה אף פעם לא קרה. חייתי בג</w:t>
      </w:r>
      <w:r w:rsidR="007B1559">
        <w:rPr>
          <w:rFonts w:ascii="Miriam" w:hAnsi="Miriam" w:cs="Miriam" w:hint="cs"/>
          <w:spacing w:val="6"/>
          <w:sz w:val="24"/>
          <w:szCs w:val="24"/>
          <w:rtl/>
        </w:rPr>
        <w:t>י</w:t>
      </w:r>
      <w:r>
        <w:rPr>
          <w:rFonts w:ascii="Miriam" w:hAnsi="Miriam" w:cs="Miriam"/>
          <w:spacing w:val="6"/>
          <w:sz w:val="24"/>
          <w:szCs w:val="24"/>
          <w:rtl/>
        </w:rPr>
        <w:t>הנום עד אשר... ברחתי מהבית.</w:t>
      </w:r>
      <w:r>
        <w:rPr>
          <w:rFonts w:ascii="David" w:hAnsi="David" w:cs="David"/>
          <w:spacing w:val="6"/>
          <w:sz w:val="24"/>
          <w:szCs w:val="24"/>
          <w:rtl/>
        </w:rPr>
        <w:t>" (עמ' 21, ש' 22-10); "</w:t>
      </w:r>
      <w:r>
        <w:rPr>
          <w:rFonts w:ascii="Miriam" w:hAnsi="Miriam" w:cs="Miriam"/>
          <w:spacing w:val="6"/>
          <w:sz w:val="24"/>
          <w:szCs w:val="24"/>
          <w:rtl/>
        </w:rPr>
        <w:t>כי חיכיתי להסכמות ולא תיארתי לי שאני אצטרך לברוח מהבית כל עוד רוחי בי, ולא תיארתי שהאלימות תכניס גם את ילדי תחת אלימות כלפי. מכיוון שא</w:t>
      </w:r>
      <w:r w:rsidR="00580552">
        <w:rPr>
          <w:rFonts w:ascii="Miriam" w:hAnsi="Miriam" w:cs="Miriam" w:hint="cs"/>
          <w:spacing w:val="6"/>
          <w:sz w:val="24"/>
          <w:szCs w:val="24"/>
          <w:rtl/>
        </w:rPr>
        <w:t>'</w:t>
      </w:r>
      <w:r>
        <w:rPr>
          <w:rFonts w:ascii="Miriam" w:hAnsi="Miriam" w:cs="Miriam"/>
          <w:spacing w:val="6"/>
          <w:sz w:val="24"/>
          <w:szCs w:val="24"/>
          <w:rtl/>
        </w:rPr>
        <w:t xml:space="preserve"> אמר כל הזמן בואי נעשה את זה בהסכמה, עוד לא הסכמנו, נמכור את הדירה, לא תהיה דירה, לא יהיה לך גט</w:t>
      </w:r>
      <w:r w:rsidR="00FB024B">
        <w:rPr>
          <w:rFonts w:ascii="Miriam" w:hAnsi="Miriam" w:cs="Miriam" w:hint="cs"/>
          <w:spacing w:val="6"/>
          <w:sz w:val="24"/>
          <w:szCs w:val="24"/>
          <w:rtl/>
        </w:rPr>
        <w:t xml:space="preserve">... </w:t>
      </w:r>
      <w:r>
        <w:rPr>
          <w:rFonts w:ascii="Miriam" w:hAnsi="Miriam" w:cs="Miriam"/>
          <w:spacing w:val="6"/>
          <w:sz w:val="24"/>
          <w:szCs w:val="24"/>
          <w:rtl/>
        </w:rPr>
        <w:t>. ושוב הייתי מאוד רוצה לעשות את זה בהסכמה כי גם ככה האגו שלו והקנאות שלו וההתלהמות שלו אז רציתי לעשות את זה בהסכמה ולכן לא הגשתי לפני כן. ומאחר ונאלצתי לבסוף לברוח מהבית כל עוד נפשי בי וכלו כל הקיצים הגשתי את התביעה ביולי 2020</w:t>
      </w:r>
      <w:r>
        <w:rPr>
          <w:rFonts w:ascii="David" w:hAnsi="David" w:cs="David"/>
          <w:spacing w:val="6"/>
          <w:sz w:val="24"/>
          <w:szCs w:val="24"/>
          <w:rtl/>
        </w:rPr>
        <w:t>" (עמ' 22, ש' 12-6).</w:t>
      </w:r>
    </w:p>
    <w:p w:rsidR="00A76863" w:rsidRDefault="00A76863" w:rsidP="00A76863">
      <w:pPr>
        <w:spacing w:line="306" w:lineRule="exact"/>
        <w:jc w:val="both"/>
        <w:rPr>
          <w:rFonts w:ascii="David" w:hAnsi="David"/>
          <w:spacing w:val="6"/>
          <w:rtl/>
        </w:rPr>
      </w:pPr>
    </w:p>
    <w:p w:rsidR="00A76863" w:rsidRDefault="00A76863" w:rsidP="00FB024B">
      <w:pPr>
        <w:pStyle w:val="ad"/>
        <w:spacing w:after="0" w:line="306" w:lineRule="exact"/>
        <w:ind w:left="509"/>
        <w:jc w:val="both"/>
        <w:rPr>
          <w:rFonts w:ascii="David" w:hAnsi="David" w:cs="David"/>
          <w:b/>
          <w:bCs/>
          <w:spacing w:val="6"/>
          <w:sz w:val="24"/>
          <w:szCs w:val="24"/>
          <w:rtl/>
        </w:rPr>
      </w:pPr>
      <w:r>
        <w:rPr>
          <w:rFonts w:cs="David"/>
          <w:spacing w:val="6"/>
          <w:sz w:val="24"/>
          <w:szCs w:val="24"/>
          <w:rtl/>
        </w:rPr>
        <w:t xml:space="preserve">מעבר לכך, אין להתעלם מהעובדה, כי הנתבע סיכל את סידור הגט מלכתחילה בטענה </w:t>
      </w:r>
      <w:r w:rsidR="00FB024B">
        <w:rPr>
          <w:rFonts w:cs="David" w:hint="cs"/>
          <w:spacing w:val="6"/>
          <w:sz w:val="24"/>
          <w:szCs w:val="24"/>
          <w:rtl/>
        </w:rPr>
        <w:t>ש</w:t>
      </w:r>
      <w:r>
        <w:rPr>
          <w:rFonts w:cs="David"/>
          <w:spacing w:val="6"/>
          <w:sz w:val="24"/>
          <w:szCs w:val="24"/>
          <w:rtl/>
        </w:rPr>
        <w:t xml:space="preserve">רצונו בשלום בית, </w:t>
      </w:r>
      <w:r>
        <w:rPr>
          <w:rFonts w:cs="David"/>
          <w:b/>
          <w:bCs/>
          <w:spacing w:val="6"/>
          <w:sz w:val="24"/>
          <w:szCs w:val="24"/>
          <w:rtl/>
        </w:rPr>
        <w:t>מעולם לא טרח להגיש תביעה לשלום בית לבית הדין</w:t>
      </w:r>
      <w:r>
        <w:rPr>
          <w:rFonts w:cs="David"/>
          <w:spacing w:val="6"/>
          <w:sz w:val="24"/>
          <w:szCs w:val="24"/>
          <w:rtl/>
        </w:rPr>
        <w:t>; כשנשאל על כך, השיב כי זו הוגשה באופן פרטי, אך לא טרח לבאר מהו אותו הליך "פרטי" זה</w:t>
      </w:r>
      <w:r w:rsidR="00FB024B">
        <w:rPr>
          <w:rFonts w:cs="David" w:hint="cs"/>
          <w:spacing w:val="6"/>
          <w:sz w:val="24"/>
          <w:szCs w:val="24"/>
          <w:rtl/>
        </w:rPr>
        <w:t>,</w:t>
      </w:r>
      <w:r>
        <w:rPr>
          <w:rFonts w:cs="David"/>
          <w:spacing w:val="6"/>
          <w:sz w:val="24"/>
          <w:szCs w:val="24"/>
          <w:rtl/>
        </w:rPr>
        <w:t xml:space="preserve"> וכן לא טרח להוכיח קיומו; "</w:t>
      </w:r>
      <w:r>
        <w:rPr>
          <w:rFonts w:ascii="Miriam" w:hAnsi="Miriam" w:cs="Miriam"/>
          <w:spacing w:val="6"/>
          <w:sz w:val="24"/>
          <w:szCs w:val="24"/>
          <w:rtl/>
        </w:rPr>
        <w:t>...הוגשה לבקשה לשלום בית בדרך פרטית ויש תיעוד בווטסאפ על כל זה וגרושתי ה</w:t>
      </w:r>
      <w:r w:rsidR="00FB024B">
        <w:rPr>
          <w:rFonts w:ascii="Miriam" w:hAnsi="Miriam" w:cs="Miriam" w:hint="cs"/>
          <w:spacing w:val="6"/>
          <w:sz w:val="24"/>
          <w:szCs w:val="24"/>
          <w:rtl/>
        </w:rPr>
        <w:t>י</w:t>
      </w:r>
      <w:r>
        <w:rPr>
          <w:rFonts w:ascii="Miriam" w:hAnsi="Miriam" w:cs="Miriam"/>
          <w:spacing w:val="6"/>
          <w:sz w:val="24"/>
          <w:szCs w:val="24"/>
          <w:rtl/>
        </w:rPr>
        <w:t>יתה בדיון איתה – הכוונה היינו יחד בפגישה עם היועצת גברת לימור שלמה. לא צלח הענ</w:t>
      </w:r>
      <w:r w:rsidR="00FB024B">
        <w:rPr>
          <w:rFonts w:ascii="Miriam" w:hAnsi="Miriam" w:cs="Miriam" w:hint="cs"/>
          <w:spacing w:val="6"/>
          <w:sz w:val="24"/>
          <w:szCs w:val="24"/>
          <w:rtl/>
        </w:rPr>
        <w:t>י</w:t>
      </w:r>
      <w:r>
        <w:rPr>
          <w:rFonts w:ascii="Miriam" w:hAnsi="Miriam" w:cs="Miriam"/>
          <w:spacing w:val="6"/>
          <w:sz w:val="24"/>
          <w:szCs w:val="24"/>
          <w:rtl/>
        </w:rPr>
        <w:t>ין הזה, היא סירבה לבוא לטיפול זוגי בוא נגיד את ככה, ככה היא אמרה</w:t>
      </w:r>
      <w:r>
        <w:rPr>
          <w:rFonts w:cs="David"/>
          <w:spacing w:val="6"/>
          <w:sz w:val="24"/>
          <w:szCs w:val="24"/>
          <w:rtl/>
        </w:rPr>
        <w:t xml:space="preserve">" (עמ' 28, ש' 21-18); </w:t>
      </w:r>
      <w:r>
        <w:rPr>
          <w:rFonts w:ascii="David" w:hAnsi="David" w:cs="David"/>
          <w:spacing w:val="6"/>
          <w:sz w:val="24"/>
          <w:szCs w:val="24"/>
          <w:rtl/>
        </w:rPr>
        <w:t>"</w:t>
      </w:r>
      <w:r>
        <w:rPr>
          <w:rFonts w:ascii="Miriam" w:hAnsi="Miriam" w:cs="Miriam"/>
          <w:b/>
          <w:bCs/>
          <w:spacing w:val="6"/>
          <w:sz w:val="24"/>
          <w:szCs w:val="24"/>
          <w:rtl/>
        </w:rPr>
        <w:t>ש.</w:t>
      </w:r>
      <w:r>
        <w:rPr>
          <w:rFonts w:ascii="Miriam" w:hAnsi="Miriam" w:cs="Miriam"/>
          <w:spacing w:val="6"/>
          <w:sz w:val="24"/>
          <w:szCs w:val="24"/>
          <w:rtl/>
        </w:rPr>
        <w:t xml:space="preserve"> </w:t>
      </w:r>
      <w:r>
        <w:rPr>
          <w:rFonts w:ascii="Miriam" w:hAnsi="Miriam" w:cs="Miriam"/>
          <w:b/>
          <w:bCs/>
          <w:spacing w:val="6"/>
          <w:sz w:val="24"/>
          <w:szCs w:val="24"/>
          <w:rtl/>
        </w:rPr>
        <w:t xml:space="preserve">היא עומדת על החוזה שהיא חתמה, אתה מפר אותו ואם אתה מפר אותו למה לא הגשת לבית הדין תביעה לשלום בית  או ביטול פסק הדין? ת. </w:t>
      </w:r>
      <w:r>
        <w:rPr>
          <w:rFonts w:ascii="Miriam" w:hAnsi="Miriam" w:cs="Miriam"/>
          <w:spacing w:val="6"/>
          <w:sz w:val="24"/>
          <w:szCs w:val="24"/>
          <w:rtl/>
        </w:rPr>
        <w:t xml:space="preserve">כמו שאמרתי קודם כי הגשתי את זה באופן פרטי, בעקבות זה שהיה שלום בית בינינו היא לא הגישה בקשה לבית הדין אז אני קיוויתי שיהיה בסדר </w:t>
      </w:r>
      <w:r>
        <w:rPr>
          <w:rFonts w:ascii="Miriam" w:hAnsi="Miriam" w:cs="Miriam"/>
          <w:spacing w:val="6"/>
          <w:sz w:val="24"/>
          <w:szCs w:val="24"/>
          <w:rtl/>
        </w:rPr>
        <w:lastRenderedPageBreak/>
        <w:t>וגם היא הבינה את זה. גם הבנתי שאי אפשר להתגרש כל עוד גרים תחת קורת גג אחת</w:t>
      </w:r>
      <w:r>
        <w:rPr>
          <w:rFonts w:ascii="David" w:hAnsi="David" w:cs="David"/>
          <w:spacing w:val="6"/>
          <w:sz w:val="24"/>
          <w:szCs w:val="24"/>
          <w:rtl/>
        </w:rPr>
        <w:t xml:space="preserve">" (עמ' 30, ש' 7-3). </w:t>
      </w:r>
    </w:p>
    <w:p w:rsidR="00A76863" w:rsidRDefault="00A76863" w:rsidP="00A76863">
      <w:pPr>
        <w:pStyle w:val="ad"/>
        <w:spacing w:after="0" w:line="306" w:lineRule="exact"/>
        <w:ind w:left="509"/>
        <w:jc w:val="both"/>
        <w:rPr>
          <w:rFonts w:cs="David"/>
          <w:spacing w:val="6"/>
          <w:sz w:val="24"/>
          <w:szCs w:val="24"/>
          <w:rtl/>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spacing w:val="6"/>
          <w:sz w:val="24"/>
          <w:szCs w:val="24"/>
          <w:u w:val="single"/>
          <w:rtl/>
        </w:rPr>
        <w:t>הטענה בדבר התמשכות ההליכים בבית הדין הרבני (דחיית דיונים)</w:t>
      </w:r>
      <w:r>
        <w:rPr>
          <w:rFonts w:cs="David"/>
          <w:spacing w:val="6"/>
          <w:sz w:val="24"/>
          <w:szCs w:val="24"/>
          <w:rtl/>
        </w:rPr>
        <w:t xml:space="preserve"> – </w:t>
      </w:r>
    </w:p>
    <w:p w:rsidR="00A76863" w:rsidRDefault="00A76863" w:rsidP="00A76863">
      <w:pPr>
        <w:pStyle w:val="ad"/>
        <w:spacing w:after="0" w:line="306" w:lineRule="exact"/>
        <w:rPr>
          <w:rFonts w:cs="David"/>
          <w:spacing w:val="6"/>
          <w:sz w:val="24"/>
          <w:szCs w:val="24"/>
        </w:rPr>
      </w:pPr>
    </w:p>
    <w:p w:rsidR="00A76863" w:rsidRDefault="00A76863" w:rsidP="00FB024B">
      <w:pPr>
        <w:pStyle w:val="ad"/>
        <w:spacing w:after="0" w:line="306" w:lineRule="exact"/>
        <w:ind w:left="509"/>
        <w:jc w:val="both"/>
        <w:rPr>
          <w:rFonts w:cs="David"/>
          <w:spacing w:val="6"/>
          <w:sz w:val="24"/>
          <w:szCs w:val="24"/>
          <w:rtl/>
        </w:rPr>
      </w:pPr>
      <w:r>
        <w:rPr>
          <w:rFonts w:cs="David"/>
          <w:spacing w:val="6"/>
          <w:sz w:val="24"/>
          <w:szCs w:val="24"/>
          <w:rtl/>
        </w:rPr>
        <w:t xml:space="preserve">לטענת הנתבע, התמשכות ההליכים בתביעת הגירושין השנייה שהגישה האישה </w:t>
      </w:r>
      <w:r w:rsidR="00FB024B">
        <w:rPr>
          <w:rFonts w:cs="David" w:hint="cs"/>
          <w:spacing w:val="6"/>
          <w:sz w:val="24"/>
          <w:szCs w:val="24"/>
          <w:rtl/>
        </w:rPr>
        <w:t>נ</w:t>
      </w:r>
      <w:r>
        <w:rPr>
          <w:rFonts w:cs="David"/>
          <w:spacing w:val="6"/>
          <w:sz w:val="24"/>
          <w:szCs w:val="24"/>
          <w:rtl/>
        </w:rPr>
        <w:t xml:space="preserve">גרמה </w:t>
      </w:r>
      <w:r w:rsidR="00FB024B">
        <w:rPr>
          <w:rFonts w:cs="David" w:hint="cs"/>
          <w:spacing w:val="6"/>
          <w:sz w:val="24"/>
          <w:szCs w:val="24"/>
          <w:rtl/>
        </w:rPr>
        <w:t xml:space="preserve">שלא </w:t>
      </w:r>
      <w:r>
        <w:rPr>
          <w:rFonts w:cs="David"/>
          <w:spacing w:val="6"/>
          <w:sz w:val="24"/>
          <w:szCs w:val="24"/>
          <w:rtl/>
        </w:rPr>
        <w:t xml:space="preserve">בעטיו של הנתבע, אלא בשל משבר הקורונה </w:t>
      </w:r>
      <w:r w:rsidR="00FB024B">
        <w:rPr>
          <w:rFonts w:cs="David" w:hint="cs"/>
          <w:spacing w:val="6"/>
          <w:sz w:val="24"/>
          <w:szCs w:val="24"/>
          <w:rtl/>
        </w:rPr>
        <w:t xml:space="preserve">בעקבותיו נאלץ </w:t>
      </w:r>
      <w:r>
        <w:rPr>
          <w:rFonts w:cs="David"/>
          <w:spacing w:val="6"/>
          <w:sz w:val="24"/>
          <w:szCs w:val="24"/>
          <w:rtl/>
        </w:rPr>
        <w:t>בית הדין לדחות את הדיון פעם אחר פעם, עובדה שאינה בשליטתו ובוודאי שלא באשמתו של הנתבע.</w:t>
      </w:r>
    </w:p>
    <w:p w:rsidR="00A76863" w:rsidRDefault="00A76863" w:rsidP="00A76863">
      <w:pPr>
        <w:pStyle w:val="ad"/>
        <w:spacing w:after="0" w:line="306" w:lineRule="exact"/>
        <w:ind w:left="509"/>
        <w:jc w:val="both"/>
        <w:rPr>
          <w:rFonts w:cs="David"/>
          <w:spacing w:val="6"/>
          <w:sz w:val="24"/>
          <w:szCs w:val="24"/>
          <w:rtl/>
        </w:rPr>
      </w:pPr>
    </w:p>
    <w:p w:rsidR="00A76863" w:rsidRDefault="00A76863" w:rsidP="00A76863">
      <w:pPr>
        <w:pStyle w:val="ad"/>
        <w:spacing w:after="0" w:line="306" w:lineRule="exact"/>
        <w:ind w:left="509"/>
        <w:jc w:val="both"/>
        <w:rPr>
          <w:rFonts w:cs="David"/>
          <w:spacing w:val="6"/>
          <w:sz w:val="24"/>
          <w:szCs w:val="24"/>
          <w:rtl/>
        </w:rPr>
      </w:pPr>
      <w:r>
        <w:rPr>
          <w:rFonts w:cs="David"/>
          <w:spacing w:val="6"/>
          <w:sz w:val="24"/>
          <w:szCs w:val="24"/>
          <w:rtl/>
        </w:rPr>
        <w:t xml:space="preserve">איני מקבלת טענתו זו. </w:t>
      </w:r>
    </w:p>
    <w:p w:rsidR="00A76863" w:rsidRDefault="00A76863" w:rsidP="00A76863">
      <w:pPr>
        <w:pStyle w:val="ad"/>
        <w:spacing w:after="0" w:line="306" w:lineRule="exact"/>
        <w:ind w:left="509"/>
        <w:jc w:val="both"/>
        <w:rPr>
          <w:rFonts w:cs="David"/>
          <w:spacing w:val="6"/>
          <w:sz w:val="24"/>
          <w:szCs w:val="24"/>
          <w:rtl/>
        </w:rPr>
      </w:pPr>
    </w:p>
    <w:p w:rsidR="00A76863" w:rsidRDefault="00A76863" w:rsidP="00A76863">
      <w:pPr>
        <w:pStyle w:val="ad"/>
        <w:spacing w:after="0" w:line="306" w:lineRule="exact"/>
        <w:ind w:left="509"/>
        <w:jc w:val="both"/>
        <w:rPr>
          <w:rFonts w:cs="David"/>
          <w:spacing w:val="6"/>
          <w:sz w:val="24"/>
          <w:szCs w:val="24"/>
          <w:rtl/>
        </w:rPr>
      </w:pPr>
      <w:r>
        <w:rPr>
          <w:rFonts w:cs="David"/>
          <w:spacing w:val="6"/>
          <w:sz w:val="24"/>
          <w:szCs w:val="24"/>
          <w:rtl/>
        </w:rPr>
        <w:t>מקובל עליי שהדיון בתביעת הגירושין השנייה שהגישה התובעת נדחה בשל משבר הקורונה, ואולם ככל שהנתבע היה מודיע לבית הדין, כי ניתנת הסכמתו לגירושין, אזי יש להניח כי בית הדין היה פועל לשם סידור הגט ללא כל שיהוי נוסף, שכן אין צורך או טעם לברר קיומן של עילות חיוב בגט.</w:t>
      </w:r>
    </w:p>
    <w:p w:rsidR="00A76863" w:rsidRDefault="00A76863" w:rsidP="00A76863">
      <w:pPr>
        <w:pStyle w:val="ad"/>
        <w:spacing w:after="0" w:line="306" w:lineRule="exact"/>
        <w:ind w:left="509"/>
        <w:jc w:val="both"/>
        <w:rPr>
          <w:rFonts w:cs="David"/>
          <w:spacing w:val="6"/>
          <w:sz w:val="24"/>
          <w:szCs w:val="24"/>
          <w:rtl/>
        </w:rPr>
      </w:pPr>
    </w:p>
    <w:p w:rsidR="00A76863" w:rsidRDefault="00A76863" w:rsidP="00FB024B">
      <w:pPr>
        <w:pStyle w:val="ad"/>
        <w:spacing w:after="0" w:line="306" w:lineRule="exact"/>
        <w:ind w:left="509"/>
        <w:jc w:val="both"/>
        <w:rPr>
          <w:rFonts w:cs="David"/>
          <w:spacing w:val="6"/>
          <w:sz w:val="24"/>
          <w:szCs w:val="24"/>
          <w:rtl/>
        </w:rPr>
      </w:pPr>
      <w:r>
        <w:rPr>
          <w:rFonts w:cs="David"/>
          <w:spacing w:val="6"/>
          <w:sz w:val="24"/>
          <w:szCs w:val="24"/>
          <w:rtl/>
        </w:rPr>
        <w:t xml:space="preserve">יוזכר, כי בדיון שהתקיים בבית הדין הרבני ביום 23.12.2020 </w:t>
      </w:r>
      <w:r>
        <w:rPr>
          <w:rFonts w:cs="David"/>
          <w:b/>
          <w:bCs/>
          <w:spacing w:val="6"/>
          <w:sz w:val="24"/>
          <w:szCs w:val="24"/>
          <w:rtl/>
        </w:rPr>
        <w:t>דחה הנתבע את הצעת בית הדין לסדר גט ולדון בכתובה לאחר סידור הגט ודרש לקיים דיון הוכחות</w:t>
      </w:r>
      <w:r>
        <w:rPr>
          <w:rFonts w:cs="David"/>
          <w:spacing w:val="6"/>
          <w:sz w:val="24"/>
          <w:szCs w:val="24"/>
          <w:rtl/>
        </w:rPr>
        <w:t>; "</w:t>
      </w:r>
      <w:r>
        <w:rPr>
          <w:rFonts w:ascii="Miriam" w:hAnsi="Miriam" w:cs="Miriam"/>
          <w:spacing w:val="6"/>
          <w:sz w:val="24"/>
          <w:szCs w:val="24"/>
          <w:rtl/>
        </w:rPr>
        <w:t>בית הדין: אתה מבקש דיון הוכחות? הבעל: בוודאי. אני מסרב לתת גט. אין עילה הלכתית לתת לה גט לעניות דעתי. מה שהיא אמרה זה לא נכון. היא לא טענה את זה בבית המשפט... בית הדין: האם אתה מסכים לתת גט ולדון בכתובה לאחר מכן? הבעל: לא. אני מסרב. אני מבקש לבקש דיון האם אני חייב לתת לה גט. בית הדין: נקבע מועד לדיון בתביעת האישה לגירושין. בית הדין לא יוכל לחייב ב"פ לפני שמיעת הצדדים וקיום דיון הוכחות</w:t>
      </w:r>
      <w:r>
        <w:rPr>
          <w:rFonts w:cs="David"/>
          <w:spacing w:val="6"/>
          <w:sz w:val="24"/>
          <w:szCs w:val="24"/>
          <w:rtl/>
        </w:rPr>
        <w:t>" (ש' 42-32 פרו' בי</w:t>
      </w:r>
      <w:r w:rsidR="00FB024B">
        <w:rPr>
          <w:rFonts w:cs="David" w:hint="cs"/>
          <w:spacing w:val="6"/>
          <w:sz w:val="24"/>
          <w:szCs w:val="24"/>
          <w:rtl/>
        </w:rPr>
        <w:t xml:space="preserve">ת הדין </w:t>
      </w:r>
      <w:r>
        <w:rPr>
          <w:rFonts w:cs="David"/>
          <w:spacing w:val="6"/>
          <w:sz w:val="24"/>
          <w:szCs w:val="24"/>
          <w:rtl/>
        </w:rPr>
        <w:t>מיום 23.12.2020; ת/ט').</w:t>
      </w:r>
    </w:p>
    <w:p w:rsidR="00A76863" w:rsidRDefault="00A76863" w:rsidP="00A76863">
      <w:pPr>
        <w:pStyle w:val="ad"/>
        <w:spacing w:after="0" w:line="306" w:lineRule="exact"/>
        <w:ind w:left="509"/>
        <w:jc w:val="both"/>
        <w:rPr>
          <w:rFonts w:cs="David"/>
          <w:spacing w:val="6"/>
          <w:sz w:val="24"/>
          <w:szCs w:val="24"/>
          <w:rtl/>
        </w:rPr>
      </w:pPr>
    </w:p>
    <w:p w:rsidR="00A76863" w:rsidRDefault="00A76863" w:rsidP="00FB024B">
      <w:pPr>
        <w:pStyle w:val="ad"/>
        <w:spacing w:after="0" w:line="306" w:lineRule="exact"/>
        <w:ind w:left="509"/>
        <w:jc w:val="both"/>
        <w:rPr>
          <w:rFonts w:cs="David"/>
          <w:spacing w:val="6"/>
          <w:sz w:val="24"/>
          <w:szCs w:val="24"/>
          <w:rtl/>
        </w:rPr>
      </w:pPr>
      <w:r>
        <w:rPr>
          <w:rFonts w:cs="David"/>
          <w:spacing w:val="6"/>
          <w:sz w:val="24"/>
          <w:szCs w:val="24"/>
          <w:rtl/>
        </w:rPr>
        <w:t>הנה כי כן, הצורך בדיון במעמד הצדדים התעורר בשל סירובו העיקש של הנתבע ל</w:t>
      </w:r>
      <w:r w:rsidR="00FB024B">
        <w:rPr>
          <w:rFonts w:cs="David" w:hint="cs"/>
          <w:spacing w:val="6"/>
          <w:sz w:val="24"/>
          <w:szCs w:val="24"/>
          <w:rtl/>
        </w:rPr>
        <w:t>י</w:t>
      </w:r>
      <w:r>
        <w:rPr>
          <w:rFonts w:cs="David"/>
          <w:spacing w:val="6"/>
          <w:sz w:val="24"/>
          <w:szCs w:val="24"/>
          <w:rtl/>
        </w:rPr>
        <w:t xml:space="preserve">תן גט ונועד לצורך קיומו של הליך הוכחות </w:t>
      </w:r>
      <w:r>
        <w:rPr>
          <w:rFonts w:cs="David"/>
          <w:b/>
          <w:bCs/>
          <w:spacing w:val="6"/>
          <w:sz w:val="24"/>
          <w:szCs w:val="24"/>
          <w:rtl/>
        </w:rPr>
        <w:t>לבירור קיומן של עילות חיוב בגט</w:t>
      </w:r>
      <w:r>
        <w:rPr>
          <w:rFonts w:cs="David"/>
          <w:spacing w:val="6"/>
          <w:sz w:val="24"/>
          <w:szCs w:val="24"/>
          <w:rtl/>
        </w:rPr>
        <w:t>, דיון עליו עמד</w:t>
      </w:r>
      <w:r w:rsidR="00FB024B">
        <w:rPr>
          <w:rFonts w:cs="David" w:hint="cs"/>
          <w:spacing w:val="6"/>
          <w:sz w:val="24"/>
          <w:szCs w:val="24"/>
          <w:rtl/>
        </w:rPr>
        <w:t xml:space="preserve"> הנתבע</w:t>
      </w:r>
      <w:r>
        <w:rPr>
          <w:rFonts w:cs="David"/>
          <w:spacing w:val="6"/>
          <w:sz w:val="24"/>
          <w:szCs w:val="24"/>
          <w:rtl/>
        </w:rPr>
        <w:t xml:space="preserve">. </w:t>
      </w:r>
    </w:p>
    <w:p w:rsidR="00A76863" w:rsidRDefault="00A76863" w:rsidP="00A76863">
      <w:pPr>
        <w:pStyle w:val="ad"/>
        <w:spacing w:after="0" w:line="306" w:lineRule="exact"/>
        <w:ind w:left="509"/>
        <w:jc w:val="both"/>
        <w:rPr>
          <w:rFonts w:cs="David"/>
          <w:spacing w:val="6"/>
          <w:sz w:val="24"/>
          <w:szCs w:val="24"/>
          <w:rtl/>
        </w:rPr>
      </w:pPr>
    </w:p>
    <w:p w:rsidR="00A76863" w:rsidRDefault="00A76863" w:rsidP="00A76863">
      <w:pPr>
        <w:pStyle w:val="ad"/>
        <w:numPr>
          <w:ilvl w:val="0"/>
          <w:numId w:val="2"/>
        </w:numPr>
        <w:spacing w:after="0" w:line="306" w:lineRule="exact"/>
        <w:ind w:left="509"/>
        <w:jc w:val="both"/>
        <w:rPr>
          <w:rFonts w:cs="David"/>
          <w:spacing w:val="6"/>
          <w:sz w:val="24"/>
          <w:szCs w:val="24"/>
          <w:u w:val="single"/>
          <w:rtl/>
        </w:rPr>
      </w:pPr>
      <w:r>
        <w:rPr>
          <w:rFonts w:cs="David"/>
          <w:spacing w:val="6"/>
          <w:sz w:val="24"/>
          <w:szCs w:val="24"/>
          <w:u w:val="single"/>
          <w:rtl/>
        </w:rPr>
        <w:t>לא ניתנה כל החלטה מטעם בית הדין המחייב את הנתבע ליתן גט</w:t>
      </w:r>
      <w:r>
        <w:rPr>
          <w:rFonts w:cs="David"/>
          <w:spacing w:val="6"/>
          <w:sz w:val="24"/>
          <w:szCs w:val="24"/>
          <w:rtl/>
        </w:rPr>
        <w:t xml:space="preserve"> –</w:t>
      </w:r>
      <w:r>
        <w:rPr>
          <w:rFonts w:cs="David"/>
          <w:spacing w:val="6"/>
          <w:sz w:val="24"/>
          <w:szCs w:val="24"/>
          <w:u w:val="single"/>
          <w:rtl/>
        </w:rPr>
        <w:t xml:space="preserve"> </w:t>
      </w:r>
    </w:p>
    <w:p w:rsidR="00A76863" w:rsidRDefault="00A76863" w:rsidP="00A76863">
      <w:pPr>
        <w:pStyle w:val="ad"/>
        <w:spacing w:after="0" w:line="306" w:lineRule="exact"/>
        <w:ind w:left="509"/>
        <w:jc w:val="both"/>
        <w:rPr>
          <w:rFonts w:cs="David"/>
          <w:spacing w:val="6"/>
          <w:sz w:val="24"/>
          <w:szCs w:val="24"/>
        </w:rPr>
      </w:pPr>
    </w:p>
    <w:p w:rsidR="00A76863" w:rsidRDefault="00A76863" w:rsidP="00FB024B">
      <w:pPr>
        <w:pStyle w:val="ad"/>
        <w:spacing w:after="0" w:line="306" w:lineRule="exact"/>
        <w:ind w:left="509"/>
        <w:jc w:val="both"/>
        <w:rPr>
          <w:rFonts w:cs="David"/>
          <w:spacing w:val="6"/>
          <w:sz w:val="24"/>
          <w:szCs w:val="24"/>
          <w:rtl/>
        </w:rPr>
      </w:pPr>
      <w:r>
        <w:rPr>
          <w:rFonts w:cs="David"/>
          <w:spacing w:val="6"/>
          <w:sz w:val="24"/>
          <w:szCs w:val="24"/>
          <w:rtl/>
        </w:rPr>
        <w:t>אכן, כטענת הנתבע, לא הוצגה, וממילא לא הייתה, כל החלטה של בית הדין המחייבת אותו ליתן גט</w:t>
      </w:r>
      <w:r w:rsidR="00FB024B">
        <w:rPr>
          <w:rFonts w:cs="David" w:hint="cs"/>
          <w:spacing w:val="6"/>
          <w:sz w:val="24"/>
          <w:szCs w:val="24"/>
          <w:rtl/>
        </w:rPr>
        <w:t xml:space="preserve">; </w:t>
      </w:r>
      <w:r>
        <w:rPr>
          <w:rFonts w:cs="David"/>
          <w:spacing w:val="6"/>
          <w:sz w:val="24"/>
          <w:szCs w:val="24"/>
          <w:rtl/>
        </w:rPr>
        <w:t xml:space="preserve">התובעת לא טענה אחרת אלא טענותיה מתבססות על העובדה כי על אף שהצדדים הגיעו להסכמה להתגרש זמ"ז ואף התחייבו על כך בהסכם בכתב, הפר הנתבע </w:t>
      </w:r>
      <w:r w:rsidR="00FB024B">
        <w:rPr>
          <w:rFonts w:cs="David" w:hint="cs"/>
          <w:spacing w:val="6"/>
          <w:sz w:val="24"/>
          <w:szCs w:val="24"/>
          <w:rtl/>
        </w:rPr>
        <w:t>את ה</w:t>
      </w:r>
      <w:r>
        <w:rPr>
          <w:rFonts w:cs="David"/>
          <w:spacing w:val="6"/>
          <w:sz w:val="24"/>
          <w:szCs w:val="24"/>
          <w:rtl/>
        </w:rPr>
        <w:t>הסכם וסירב ליתן לה את גיטה.</w:t>
      </w:r>
    </w:p>
    <w:p w:rsidR="00580552" w:rsidRDefault="00580552" w:rsidP="00A76863">
      <w:pPr>
        <w:pStyle w:val="ad"/>
        <w:spacing w:after="0" w:line="306" w:lineRule="exact"/>
        <w:ind w:left="509"/>
        <w:jc w:val="both"/>
        <w:rPr>
          <w:rFonts w:cs="David"/>
          <w:spacing w:val="6"/>
          <w:sz w:val="24"/>
          <w:szCs w:val="24"/>
          <w:rtl/>
        </w:rPr>
      </w:pPr>
    </w:p>
    <w:p w:rsidR="00A76863" w:rsidRDefault="00A76863" w:rsidP="00A76863">
      <w:pPr>
        <w:pStyle w:val="ad"/>
        <w:spacing w:after="0" w:line="306" w:lineRule="exact"/>
        <w:ind w:left="509"/>
        <w:jc w:val="both"/>
        <w:rPr>
          <w:rFonts w:cs="David"/>
          <w:spacing w:val="6"/>
          <w:sz w:val="24"/>
          <w:szCs w:val="24"/>
          <w:rtl/>
        </w:rPr>
      </w:pPr>
      <w:r>
        <w:rPr>
          <w:rFonts w:cs="David"/>
          <w:spacing w:val="6"/>
          <w:sz w:val="24"/>
          <w:szCs w:val="24"/>
          <w:rtl/>
        </w:rPr>
        <w:t>אכן, במידה וישנה החלטה של בית הדין הרבני המורה על גירושין הרי אי קיומה יכול להוות הפרת חובה חקוקה [</w:t>
      </w:r>
      <w:r>
        <w:rPr>
          <w:rFonts w:ascii="Miriam" w:hAnsi="Miriam" w:cs="Miriam"/>
          <w:spacing w:val="6"/>
          <w:sz w:val="24"/>
          <w:szCs w:val="24"/>
          <w:rtl/>
        </w:rPr>
        <w:t>תמ"ש (י-ם) 18561/07 ש' ד' נ' ר' ד' (26.5.10)</w:t>
      </w:r>
      <w:r>
        <w:rPr>
          <w:rFonts w:cs="David"/>
          <w:spacing w:val="6"/>
          <w:sz w:val="24"/>
          <w:szCs w:val="24"/>
          <w:rtl/>
        </w:rPr>
        <w:t xml:space="preserve">]; עם זאת, </w:t>
      </w:r>
      <w:r>
        <w:rPr>
          <w:rFonts w:cs="David"/>
          <w:b/>
          <w:bCs/>
          <w:spacing w:val="6"/>
          <w:sz w:val="24"/>
          <w:szCs w:val="24"/>
          <w:rtl/>
        </w:rPr>
        <w:t>גם במקרה שבו אין חיוב בגט, או אפילו המלצה, אפשר שהסירוב להתגרש יבוא בגדר עוולת הרשלנות</w:t>
      </w:r>
      <w:r>
        <w:rPr>
          <w:rFonts w:cs="David"/>
          <w:spacing w:val="6"/>
          <w:sz w:val="24"/>
          <w:szCs w:val="24"/>
          <w:rtl/>
        </w:rPr>
        <w:t xml:space="preserve">. </w:t>
      </w:r>
    </w:p>
    <w:p w:rsidR="00A76863" w:rsidRDefault="00A76863" w:rsidP="00A76863">
      <w:pPr>
        <w:pStyle w:val="ad"/>
        <w:spacing w:after="0" w:line="306" w:lineRule="exact"/>
        <w:rPr>
          <w:rFonts w:cs="David"/>
          <w:spacing w:val="6"/>
          <w:sz w:val="24"/>
          <w:szCs w:val="24"/>
        </w:rPr>
      </w:pPr>
    </w:p>
    <w:p w:rsidR="00A76863" w:rsidRDefault="00A76863" w:rsidP="00E638D5">
      <w:pPr>
        <w:pStyle w:val="ad"/>
        <w:spacing w:after="0" w:line="306" w:lineRule="exact"/>
        <w:ind w:left="509"/>
        <w:jc w:val="both"/>
        <w:rPr>
          <w:rFonts w:cs="David"/>
          <w:spacing w:val="6"/>
          <w:sz w:val="24"/>
          <w:szCs w:val="24"/>
          <w:rtl/>
        </w:rPr>
      </w:pPr>
      <w:r>
        <w:rPr>
          <w:rFonts w:cs="David"/>
          <w:spacing w:val="6"/>
          <w:sz w:val="24"/>
          <w:szCs w:val="24"/>
          <w:rtl/>
        </w:rPr>
        <w:lastRenderedPageBreak/>
        <w:t xml:space="preserve">בפסיקה נקבע, כי עוולת הרשלנות שעליה מדובר </w:t>
      </w:r>
      <w:r>
        <w:rPr>
          <w:rFonts w:cs="David"/>
          <w:b/>
          <w:bCs/>
          <w:spacing w:val="6"/>
          <w:sz w:val="24"/>
          <w:szCs w:val="24"/>
          <w:rtl/>
        </w:rPr>
        <w:t>אינה פונקציה של חיובו של בית הדין הרבני ל</w:t>
      </w:r>
      <w:r w:rsidR="00E638D5">
        <w:rPr>
          <w:rFonts w:cs="David" w:hint="cs"/>
          <w:b/>
          <w:bCs/>
          <w:spacing w:val="6"/>
          <w:sz w:val="24"/>
          <w:szCs w:val="24"/>
          <w:rtl/>
        </w:rPr>
        <w:t>י</w:t>
      </w:r>
      <w:r>
        <w:rPr>
          <w:rFonts w:cs="David"/>
          <w:b/>
          <w:bCs/>
          <w:spacing w:val="6"/>
          <w:sz w:val="24"/>
          <w:szCs w:val="24"/>
          <w:rtl/>
        </w:rPr>
        <w:t>תן גט, אלא פונקציה של סירוב בן הזוג להיענות לבקשתו של בן הזוג האחר, ושל הנזק שיגרם לו בעקבות סירוב זה</w:t>
      </w:r>
      <w:r>
        <w:rPr>
          <w:rFonts w:cs="David"/>
          <w:spacing w:val="6"/>
          <w:sz w:val="24"/>
          <w:szCs w:val="24"/>
          <w:rtl/>
        </w:rPr>
        <w:t xml:space="preserve"> [</w:t>
      </w:r>
      <w:r>
        <w:rPr>
          <w:rFonts w:ascii="Miriam" w:hAnsi="Miriam" w:cs="Miriam"/>
          <w:spacing w:val="6"/>
          <w:sz w:val="24"/>
          <w:szCs w:val="24"/>
          <w:rtl/>
        </w:rPr>
        <w:t>תמ"ש (י-ם) 21162/07 פלוני נ' פלונית (21.1.2010); עמ"ש (חי') 23464-10-09 א' ש' נ' ד' ש' (6.10.2011); תמ"ש (י-ם) 46820-03-10 אלמוני נ' פלונית (4.9.2012); תמ"ש (י-ם) 44248-05-10 ש.כ. נ' ש.כ. (5.9.2011)</w:t>
      </w:r>
      <w:r>
        <w:rPr>
          <w:rFonts w:cs="David"/>
          <w:spacing w:val="6"/>
          <w:sz w:val="24"/>
          <w:szCs w:val="24"/>
          <w:rtl/>
        </w:rPr>
        <w:t>].</w:t>
      </w:r>
    </w:p>
    <w:p w:rsidR="00A76863" w:rsidRDefault="00A76863" w:rsidP="00A76863">
      <w:pPr>
        <w:pStyle w:val="1"/>
        <w:spacing w:after="0" w:line="306" w:lineRule="exact"/>
        <w:rPr>
          <w:rFonts w:ascii="Arial" w:hAnsi="Arial" w:cs="David"/>
          <w:spacing w:val="6"/>
          <w:szCs w:val="24"/>
        </w:rPr>
      </w:pPr>
    </w:p>
    <w:p w:rsidR="00A76863" w:rsidRDefault="00A76863" w:rsidP="00A76863">
      <w:pPr>
        <w:pStyle w:val="1"/>
        <w:spacing w:after="0" w:line="306" w:lineRule="exact"/>
        <w:rPr>
          <w:rFonts w:ascii="Arial" w:hAnsi="Arial" w:cs="David"/>
          <w:spacing w:val="6"/>
          <w:szCs w:val="24"/>
          <w:rtl/>
        </w:rPr>
      </w:pPr>
      <w:r>
        <w:rPr>
          <w:rFonts w:ascii="Arial" w:hAnsi="Arial" w:cs="David"/>
          <w:spacing w:val="6"/>
          <w:szCs w:val="24"/>
          <w:rtl/>
        </w:rPr>
        <w:t>"</w:t>
      </w:r>
      <w:r>
        <w:rPr>
          <w:rFonts w:ascii="Miriam" w:hAnsi="Miriam" w:cs="Miriam"/>
          <w:spacing w:val="6"/>
          <w:szCs w:val="24"/>
          <w:rtl/>
        </w:rPr>
        <w:t>במה שונה הנזק שנגרם לאישה לפני החיוב של בית הדין בהשוואה לנזק שנגרם לה לאחר מכן? הצער הרב, הבושה, הפגיעה בכבודה וכל יתר ראשי הנזק הכלולים בעוולת הרשלנות הינם פועל יוצא של הסירוב שבינו לבינה ולא הסירוב שבינו לבין בית הדין; כך שמועד חיוב הגט כלל אינו רלוונטי בהתייחסות לעוולת הרשלנות. הצפיות שייגרם נזק עקב סירובו להיענות לבקשתה של האישה הינו פועל יוצא של עצם הסירוב ולא של החלטה או פסק דין של ערכאה כלשהי.</w:t>
      </w:r>
      <w:r>
        <w:rPr>
          <w:rFonts w:ascii="Arial" w:hAnsi="Arial" w:cs="David"/>
          <w:spacing w:val="6"/>
          <w:szCs w:val="24"/>
          <w:rtl/>
        </w:rPr>
        <w:t xml:space="preserve">.. </w:t>
      </w:r>
      <w:r>
        <w:rPr>
          <w:rFonts w:ascii="Miriam" w:hAnsi="Miriam" w:cs="Miriam"/>
          <w:spacing w:val="6"/>
          <w:szCs w:val="24"/>
          <w:rtl/>
        </w:rPr>
        <w:t>על כן, גם במקרים שאין חיוב גט כלל, ניתן יהיה למצוא שהאישה זכאית לפיצוי עבור הנזק שנגרם לה מרשלנות הבעל מעצם סירובו לתת לה את הגט המיוחל</w:t>
      </w:r>
      <w:r>
        <w:rPr>
          <w:rFonts w:ascii="Arial" w:hAnsi="Arial" w:cs="David"/>
          <w:spacing w:val="6"/>
          <w:szCs w:val="24"/>
          <w:rtl/>
        </w:rPr>
        <w:t>" [</w:t>
      </w:r>
      <w:r>
        <w:rPr>
          <w:rFonts w:ascii="Miriam" w:hAnsi="Miriam" w:cs="Miriam"/>
          <w:spacing w:val="6"/>
          <w:szCs w:val="24"/>
          <w:rtl/>
        </w:rPr>
        <w:t>תמ"ש (י-ם) 6743/02 כ' נ' כ' (21.7.2008)</w:t>
      </w:r>
      <w:r>
        <w:rPr>
          <w:rFonts w:ascii="Arial" w:hAnsi="Arial" w:cs="David"/>
          <w:spacing w:val="6"/>
          <w:szCs w:val="24"/>
          <w:rtl/>
        </w:rPr>
        <w:t>].</w:t>
      </w:r>
    </w:p>
    <w:p w:rsidR="00A76863" w:rsidRDefault="00A76863" w:rsidP="00A76863">
      <w:pPr>
        <w:pStyle w:val="ad"/>
        <w:spacing w:after="0" w:line="306" w:lineRule="exact"/>
        <w:ind w:left="509"/>
        <w:jc w:val="both"/>
        <w:rPr>
          <w:rFonts w:cs="Miriam"/>
          <w:b/>
          <w:bCs/>
          <w:spacing w:val="6"/>
          <w:sz w:val="24"/>
          <w:szCs w:val="24"/>
          <w:rtl/>
        </w:rPr>
      </w:pPr>
    </w:p>
    <w:p w:rsidR="00A76863" w:rsidRDefault="00A76863" w:rsidP="00A76863">
      <w:pPr>
        <w:pStyle w:val="1"/>
        <w:spacing w:after="0" w:line="306" w:lineRule="exact"/>
        <w:rPr>
          <w:rFonts w:ascii="Arial" w:hAnsi="Arial" w:cs="David"/>
          <w:spacing w:val="6"/>
          <w:szCs w:val="24"/>
          <w:rtl/>
        </w:rPr>
      </w:pPr>
      <w:r>
        <w:rPr>
          <w:rFonts w:ascii="Arial" w:hAnsi="Arial" w:cs="David"/>
          <w:spacing w:val="6"/>
          <w:szCs w:val="24"/>
          <w:rtl/>
        </w:rPr>
        <w:t>"</w:t>
      </w:r>
      <w:r>
        <w:rPr>
          <w:rFonts w:ascii="Miriam" w:hAnsi="Miriam" w:cs="Miriam"/>
          <w:spacing w:val="6"/>
          <w:szCs w:val="24"/>
          <w:rtl/>
        </w:rPr>
        <w:t>זכאות התובעת לפיצוי קמה מהיום בו יש לראות בנתבע כסרבן גט, קרי – היום בו מתחילה התנהגותו להוות התנהגות שלא בתום לב, או מחדלו ליתן את הגט מהווה התרשלות. יום זה הוא המועד בו מתגבשת אותה "מסה קריטית" של נסיבות בהן אדם סביר היה מבין שלנישואין אין עוד תוחלת והימנעותו להסכים למתן גט מהווה מעשה לא ראוי, התרשלות וחוסר תום לב</w:t>
      </w:r>
      <w:r>
        <w:rPr>
          <w:rFonts w:ascii="Arial" w:hAnsi="Arial" w:cs="David"/>
          <w:spacing w:val="6"/>
          <w:szCs w:val="24"/>
          <w:rtl/>
        </w:rPr>
        <w:t>" [</w:t>
      </w:r>
      <w:r>
        <w:rPr>
          <w:rFonts w:ascii="Miriam" w:hAnsi="Miriam" w:cs="Miriam"/>
          <w:spacing w:val="6"/>
          <w:szCs w:val="24"/>
          <w:rtl/>
        </w:rPr>
        <w:t>תמ"ש (י-ם) 44248-05-10 כ.ש. נ' כ.ש (5.9.2011)</w:t>
      </w:r>
      <w:r>
        <w:rPr>
          <w:rFonts w:ascii="Arial" w:hAnsi="Arial" w:cs="David"/>
          <w:spacing w:val="6"/>
          <w:szCs w:val="24"/>
          <w:rtl/>
        </w:rPr>
        <w:t>].</w:t>
      </w:r>
    </w:p>
    <w:p w:rsidR="00A76863" w:rsidRDefault="00A76863" w:rsidP="00A76863">
      <w:pPr>
        <w:pStyle w:val="ad"/>
        <w:spacing w:after="0" w:line="306" w:lineRule="exact"/>
        <w:ind w:left="509"/>
        <w:jc w:val="both"/>
        <w:rPr>
          <w:rFonts w:cs="David"/>
          <w:spacing w:val="6"/>
          <w:sz w:val="24"/>
          <w:szCs w:val="24"/>
          <w:rtl/>
        </w:rPr>
      </w:pPr>
    </w:p>
    <w:p w:rsidR="00A76863" w:rsidRDefault="00A76863" w:rsidP="00E638D5">
      <w:pPr>
        <w:pStyle w:val="ad"/>
        <w:numPr>
          <w:ilvl w:val="0"/>
          <w:numId w:val="2"/>
        </w:numPr>
        <w:spacing w:after="0" w:line="306" w:lineRule="exact"/>
        <w:ind w:left="509"/>
        <w:jc w:val="both"/>
        <w:rPr>
          <w:rFonts w:cs="David"/>
          <w:spacing w:val="6"/>
          <w:sz w:val="24"/>
          <w:szCs w:val="24"/>
        </w:rPr>
      </w:pPr>
      <w:r>
        <w:rPr>
          <w:rFonts w:cs="David"/>
          <w:spacing w:val="6"/>
          <w:sz w:val="24"/>
          <w:szCs w:val="24"/>
          <w:rtl/>
        </w:rPr>
        <w:t>לאור האמור לעיל, שוכנעתי כי הנתבע התעלם והתנער מהתחייבותו החוזית ליתן לתובעת את גיטה; בכך הפר הנתבע את חובת הזהירות המוטלת עליו, והיה עליו לצפות כי בכך הוא גורם סבל לתובעת. שוכנעתי כי עלה בידי התובעת להוכיח כדבעי את קיומו של יסוד ההפרה כנדרש בעוולת הרשלנות. לעומת זאת, לא עלה בידי הנתבע להצדיק את ההפרה. בהקשר לכך, יצוין כי בנסיבות דומות נקבע, כי מתהפך נטל השכנוע, קרי- על בן הזוג המפר את התחייבותו החוזית ליתן גט מוטל הנטל להוכיח שעשה כן בתום לב [</w:t>
      </w:r>
      <w:r>
        <w:rPr>
          <w:rFonts w:ascii="Miriam" w:hAnsi="Miriam" w:cs="Miriam"/>
          <w:spacing w:val="6"/>
          <w:sz w:val="24"/>
          <w:szCs w:val="24"/>
          <w:rtl/>
        </w:rPr>
        <w:t>תמ"ש (נצ') 7450-09-13 מ.א נ' א.א (27.1.2014)</w:t>
      </w:r>
      <w:r>
        <w:rPr>
          <w:rFonts w:cs="David"/>
          <w:spacing w:val="6"/>
          <w:sz w:val="24"/>
          <w:szCs w:val="24"/>
          <w:rtl/>
        </w:rPr>
        <w:t>].</w:t>
      </w:r>
    </w:p>
    <w:p w:rsidR="00A76863" w:rsidRPr="00E638D5" w:rsidRDefault="00A76863" w:rsidP="00A76863">
      <w:pPr>
        <w:pStyle w:val="ad"/>
        <w:spacing w:after="0" w:line="306" w:lineRule="exact"/>
        <w:rPr>
          <w:rFonts w:cs="David"/>
          <w:spacing w:val="6"/>
          <w:sz w:val="24"/>
          <w:szCs w:val="24"/>
        </w:rPr>
      </w:pPr>
    </w:p>
    <w:p w:rsidR="00A76863" w:rsidRDefault="00A76863" w:rsidP="00E638D5">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עוד אעיר, כי מעדות הנתבע בפניי לא התרשמתי ממהימנות גרסתו; ניכר היה מתשובותיו כי הוא מנסה בכל דרך לתרץ, ולו בדוחק, את סירובו למתן הגט אך אין בידיו הסבר קונקרטי המניח את הדעת; כך, למשל, כשנשאל מדוע הפר את ההסכם, השיב "</w:t>
      </w:r>
      <w:r>
        <w:rPr>
          <w:rFonts w:ascii="Miriam" w:hAnsi="Miriam" w:cs="Miriam"/>
          <w:spacing w:val="6"/>
          <w:sz w:val="24"/>
          <w:szCs w:val="24"/>
          <w:rtl/>
        </w:rPr>
        <w:t>כבוד השופטת אמרה שגט זה הליך הלכתי נקרא לזה ככה ולא דיוני. שנית, התובעת גרושה עכשיו אני חושב, דבר נוסף אי אפשר להתגרש שהעניינים שיש בית משותף, רכוש אז בית הדין לא מוכן לגרש וזכותו ה</w:t>
      </w:r>
      <w:r w:rsidR="00E638D5">
        <w:rPr>
          <w:rFonts w:ascii="Miriam" w:hAnsi="Miriam" w:cs="Miriam" w:hint="cs"/>
          <w:spacing w:val="6"/>
          <w:sz w:val="24"/>
          <w:szCs w:val="24"/>
          <w:rtl/>
        </w:rPr>
        <w:t>י</w:t>
      </w:r>
      <w:r>
        <w:rPr>
          <w:rFonts w:ascii="Miriam" w:hAnsi="Miriam" w:cs="Miriam"/>
          <w:spacing w:val="6"/>
          <w:sz w:val="24"/>
          <w:szCs w:val="24"/>
          <w:rtl/>
        </w:rPr>
        <w:t>יתה לא לגרש כל עוד העניינים לא הסתדרו עדיין</w:t>
      </w:r>
      <w:r>
        <w:rPr>
          <w:rFonts w:cs="David"/>
          <w:spacing w:val="6"/>
          <w:sz w:val="24"/>
          <w:szCs w:val="24"/>
          <w:rtl/>
        </w:rPr>
        <w:t xml:space="preserve">" (עמ' 27, ש' 32-28); יש לומר, כי טענה זו לא הועלתה כטענה סדורה במסגרת טענותיו </w:t>
      </w:r>
      <w:r>
        <w:rPr>
          <w:rFonts w:cs="David"/>
          <w:spacing w:val="6"/>
          <w:sz w:val="24"/>
          <w:szCs w:val="24"/>
          <w:rtl/>
        </w:rPr>
        <w:lastRenderedPageBreak/>
        <w:t xml:space="preserve">(כתב הגנה וסיכומים) וטוב שכך, שהרי התניית הגט בהסדרת כל העניינים הרכושיים והממוניים תחילה, אינה יכולה להיחשב לגיטימית בנסיבות שלפניי, שעה שקיים הסכם המסדיר את כל </w:t>
      </w:r>
      <w:r w:rsidR="00E638D5">
        <w:rPr>
          <w:rFonts w:cs="David" w:hint="cs"/>
          <w:spacing w:val="6"/>
          <w:sz w:val="24"/>
          <w:szCs w:val="24"/>
          <w:rtl/>
        </w:rPr>
        <w:t>ה</w:t>
      </w:r>
      <w:r>
        <w:rPr>
          <w:rFonts w:cs="David"/>
          <w:spacing w:val="6"/>
          <w:sz w:val="24"/>
          <w:szCs w:val="24"/>
          <w:rtl/>
        </w:rPr>
        <w:t xml:space="preserve">עניינים הרכושיים ושעה שהצדדים לא קשרו בהסכם </w:t>
      </w:r>
      <w:r w:rsidR="00E638D5">
        <w:rPr>
          <w:rFonts w:cs="David" w:hint="cs"/>
          <w:spacing w:val="6"/>
          <w:sz w:val="24"/>
          <w:szCs w:val="24"/>
          <w:rtl/>
        </w:rPr>
        <w:t>ב</w:t>
      </w:r>
      <w:r>
        <w:rPr>
          <w:rFonts w:cs="David"/>
          <w:spacing w:val="6"/>
          <w:sz w:val="24"/>
          <w:szCs w:val="24"/>
          <w:rtl/>
        </w:rPr>
        <w:t>ין ההתחייבויות הממוניות לבין סידור הגט.</w:t>
      </w:r>
    </w:p>
    <w:p w:rsidR="00A76863" w:rsidRDefault="00A76863" w:rsidP="00A76863">
      <w:pPr>
        <w:pStyle w:val="ad"/>
        <w:spacing w:after="0" w:line="306" w:lineRule="exact"/>
        <w:rPr>
          <w:rFonts w:cs="David"/>
          <w:spacing w:val="6"/>
          <w:sz w:val="24"/>
          <w:szCs w:val="24"/>
        </w:rPr>
      </w:pPr>
    </w:p>
    <w:p w:rsidR="00A76863" w:rsidRDefault="00A76863" w:rsidP="00A76863">
      <w:pPr>
        <w:pStyle w:val="ad"/>
        <w:spacing w:after="0" w:line="306" w:lineRule="exact"/>
        <w:ind w:left="0"/>
        <w:jc w:val="both"/>
        <w:rPr>
          <w:rFonts w:ascii="David" w:hAnsi="David" w:cs="David"/>
          <w:b/>
          <w:bCs/>
          <w:spacing w:val="6"/>
          <w:sz w:val="24"/>
          <w:szCs w:val="24"/>
          <w:u w:val="single"/>
          <w:rtl/>
        </w:rPr>
      </w:pPr>
      <w:r>
        <w:rPr>
          <w:rFonts w:ascii="David" w:hAnsi="David" w:cs="David"/>
          <w:b/>
          <w:bCs/>
          <w:spacing w:val="6"/>
          <w:sz w:val="24"/>
          <w:szCs w:val="24"/>
          <w:u w:val="single"/>
          <w:rtl/>
        </w:rPr>
        <w:t>קיומו של נזק</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משקבעתי כאמור, כי קיימת בנדון חובת זהירות וכי זו הופרה על ידי הנתבע, יש לבחון כעת מהם נזקיה של התובעת.</w:t>
      </w:r>
    </w:p>
    <w:p w:rsidR="00A76863" w:rsidRDefault="00A76863" w:rsidP="00A76863">
      <w:pPr>
        <w:pStyle w:val="ad"/>
        <w:spacing w:after="0" w:line="306" w:lineRule="exact"/>
        <w:jc w:val="both"/>
        <w:rPr>
          <w:rFonts w:cs="David"/>
          <w:spacing w:val="6"/>
          <w:sz w:val="24"/>
          <w:szCs w:val="24"/>
        </w:rPr>
      </w:pPr>
    </w:p>
    <w:p w:rsidR="00A76863" w:rsidRDefault="00A76863" w:rsidP="00E638D5">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לטענת התובעת, בעקבות הפרת התחייבותו של הנתבע להתגרש, היא נאלצה להמשיך ולהתגורר עמו תחת קורת גג אחת וכי בתקופה זו הנתבע פגע בה נפשית ופיזית וגרם לניכור הילדים כלפיה; התובעת התייחסה, בהרחבה, בכתב טענותיה ובתצהירה למערכת היחסים בינה לבין הנתבע וליחס לו </w:t>
      </w:r>
      <w:r w:rsidR="00E638D5">
        <w:rPr>
          <w:rFonts w:cs="David" w:hint="cs"/>
          <w:spacing w:val="6"/>
          <w:sz w:val="24"/>
          <w:szCs w:val="24"/>
          <w:rtl/>
        </w:rPr>
        <w:t>"</w:t>
      </w:r>
      <w:r>
        <w:rPr>
          <w:rFonts w:cs="David"/>
          <w:spacing w:val="6"/>
          <w:sz w:val="24"/>
          <w:szCs w:val="24"/>
          <w:rtl/>
        </w:rPr>
        <w:t>זכתה</w:t>
      </w:r>
      <w:r w:rsidR="00E638D5">
        <w:rPr>
          <w:rFonts w:cs="David" w:hint="cs"/>
          <w:spacing w:val="6"/>
          <w:sz w:val="24"/>
          <w:szCs w:val="24"/>
          <w:rtl/>
        </w:rPr>
        <w:t>"</w:t>
      </w:r>
      <w:r>
        <w:rPr>
          <w:rFonts w:cs="David"/>
          <w:spacing w:val="6"/>
          <w:sz w:val="24"/>
          <w:szCs w:val="24"/>
          <w:rtl/>
        </w:rPr>
        <w:t>, לטענתה, מצד הנתבע (ר' ס'</w:t>
      </w:r>
      <w:r w:rsidR="00E638D5">
        <w:rPr>
          <w:rFonts w:cs="David" w:hint="cs"/>
          <w:spacing w:val="6"/>
          <w:sz w:val="24"/>
          <w:szCs w:val="24"/>
          <w:rtl/>
        </w:rPr>
        <w:t xml:space="preserve"> 23-9</w:t>
      </w:r>
      <w:r>
        <w:rPr>
          <w:rFonts w:cs="David"/>
          <w:spacing w:val="6"/>
          <w:sz w:val="24"/>
          <w:szCs w:val="24"/>
          <w:rtl/>
        </w:rPr>
        <w:t xml:space="preserve"> לתצהיר התובעת).</w:t>
      </w:r>
    </w:p>
    <w:p w:rsidR="00A76863" w:rsidRDefault="00A76863" w:rsidP="00A76863">
      <w:pPr>
        <w:pStyle w:val="ad"/>
        <w:spacing w:after="0" w:line="306" w:lineRule="exact"/>
        <w:ind w:left="509"/>
        <w:jc w:val="both"/>
        <w:rPr>
          <w:rFonts w:cs="David"/>
          <w:spacing w:val="6"/>
          <w:sz w:val="24"/>
          <w:szCs w:val="24"/>
        </w:rPr>
      </w:pPr>
    </w:p>
    <w:p w:rsidR="00A76863" w:rsidRDefault="00A76863" w:rsidP="00580552">
      <w:pPr>
        <w:pStyle w:val="ad"/>
        <w:numPr>
          <w:ilvl w:val="0"/>
          <w:numId w:val="2"/>
        </w:numPr>
        <w:spacing w:after="0" w:line="306" w:lineRule="exact"/>
        <w:ind w:left="509"/>
        <w:jc w:val="both"/>
        <w:rPr>
          <w:rFonts w:cs="David"/>
          <w:spacing w:val="6"/>
          <w:sz w:val="24"/>
          <w:szCs w:val="24"/>
        </w:rPr>
      </w:pPr>
      <w:r>
        <w:rPr>
          <w:rFonts w:cs="David"/>
          <w:spacing w:val="6"/>
          <w:sz w:val="24"/>
          <w:szCs w:val="24"/>
          <w:rtl/>
        </w:rPr>
        <w:t>בחקירתה הנגדית, הבהירה התובעת והדגישה, כי נזקה התבטא בפגיעה קשה בחופש ובאוטונומיה שלה: "</w:t>
      </w:r>
      <w:r>
        <w:rPr>
          <w:rFonts w:ascii="Miriam" w:hAnsi="Miriam" w:cs="Miriam"/>
          <w:b/>
          <w:bCs/>
          <w:spacing w:val="6"/>
          <w:sz w:val="24"/>
          <w:szCs w:val="24"/>
          <w:rtl/>
        </w:rPr>
        <w:t>ש. מה עילת התביעה שלך נגד א</w:t>
      </w:r>
      <w:r w:rsidR="00580552">
        <w:rPr>
          <w:rFonts w:ascii="Miriam" w:hAnsi="Miriam" w:cs="Miriam" w:hint="cs"/>
          <w:b/>
          <w:bCs/>
          <w:spacing w:val="6"/>
          <w:sz w:val="24"/>
          <w:szCs w:val="24"/>
          <w:rtl/>
        </w:rPr>
        <w:t>'</w:t>
      </w:r>
      <w:r>
        <w:rPr>
          <w:rFonts w:ascii="Miriam" w:hAnsi="Miriam" w:cs="Miriam"/>
          <w:b/>
          <w:bCs/>
          <w:spacing w:val="6"/>
          <w:sz w:val="24"/>
          <w:szCs w:val="24"/>
          <w:rtl/>
        </w:rPr>
        <w:t>?</w:t>
      </w:r>
      <w:r>
        <w:rPr>
          <w:rFonts w:ascii="Miriam" w:hAnsi="Miriam" w:cs="Miriam"/>
          <w:spacing w:val="6"/>
          <w:sz w:val="24"/>
          <w:szCs w:val="24"/>
          <w:rtl/>
        </w:rPr>
        <w:t xml:space="preserve"> ת. עילת התביעה היא מניעת החופש שלי...</w:t>
      </w:r>
      <w:r>
        <w:rPr>
          <w:rFonts w:cs="David"/>
          <w:spacing w:val="6"/>
          <w:sz w:val="24"/>
          <w:szCs w:val="24"/>
          <w:rtl/>
        </w:rPr>
        <w:t xml:space="preserve">" (עמ' 19, ש' 20-19); </w:t>
      </w:r>
      <w:r>
        <w:rPr>
          <w:rFonts w:ascii="David" w:hAnsi="David" w:cs="David"/>
          <w:spacing w:val="6"/>
          <w:sz w:val="24"/>
          <w:szCs w:val="24"/>
          <w:rtl/>
        </w:rPr>
        <w:t>"</w:t>
      </w:r>
      <w:r>
        <w:rPr>
          <w:rFonts w:ascii="Miriam" w:hAnsi="Miriam" w:cs="Miriam"/>
          <w:b/>
          <w:bCs/>
          <w:spacing w:val="6"/>
          <w:sz w:val="24"/>
          <w:szCs w:val="24"/>
          <w:rtl/>
        </w:rPr>
        <w:t>ש. מה הנזקים שנגרמו לך?</w:t>
      </w:r>
      <w:r>
        <w:rPr>
          <w:rFonts w:ascii="Miriam" w:hAnsi="Miriam" w:cs="Miriam"/>
          <w:spacing w:val="6"/>
          <w:sz w:val="24"/>
          <w:szCs w:val="24"/>
          <w:rtl/>
        </w:rPr>
        <w:t xml:space="preserve"> ת. שלילת החירות שלי, את מחיר החופש אי אפשר לכמת. אי אפשר לכבול אותי לבן אדם, אני הייתי קשורה אליו כמעט שנתיים... ממועד פסק הדין מ2019 שם התחייב לתת לי גט תוך שבוע. הוא כבל אותי שנתיים כמעט זה לערך ממועד אוגוסט 2019 כאשר הוא היה אמור לי אז את הגט בהסכמה. כך לא יכולתי להתחיל בחיים חדשים, לא להכיר בזוגיות חדשה וגם לא לקיים יחסי מין עם אדם אחר כי אני דתיה</w:t>
      </w:r>
      <w:r>
        <w:rPr>
          <w:rFonts w:ascii="David" w:hAnsi="David" w:cs="David"/>
          <w:spacing w:val="6"/>
          <w:sz w:val="24"/>
          <w:szCs w:val="24"/>
          <w:rtl/>
        </w:rPr>
        <w:t>" (עמ' 23, ש' 33-26); "</w:t>
      </w:r>
      <w:r>
        <w:rPr>
          <w:rFonts w:ascii="Miriam" w:hAnsi="Miriam" w:cs="Miriam"/>
          <w:b/>
          <w:bCs/>
          <w:spacing w:val="6"/>
          <w:sz w:val="24"/>
          <w:szCs w:val="24"/>
          <w:rtl/>
        </w:rPr>
        <w:t>ש. את אומרת בעצם שהנזקים שנגרמו לך עכשיו זה שלילת החירות?</w:t>
      </w:r>
      <w:r>
        <w:rPr>
          <w:rFonts w:ascii="Miriam" w:hAnsi="Miriam" w:cs="Miriam"/>
          <w:spacing w:val="6"/>
          <w:sz w:val="24"/>
          <w:szCs w:val="24"/>
          <w:rtl/>
        </w:rPr>
        <w:t xml:space="preserve"> ת. שלילת החופש שלי...</w:t>
      </w:r>
      <w:r>
        <w:rPr>
          <w:rFonts w:ascii="David" w:hAnsi="David" w:cs="David"/>
          <w:spacing w:val="6"/>
          <w:sz w:val="24"/>
          <w:szCs w:val="24"/>
          <w:rtl/>
        </w:rPr>
        <w:t>" (עמ' 24, ש' 4-3); "</w:t>
      </w:r>
      <w:r>
        <w:rPr>
          <w:rFonts w:ascii="Miriam" w:hAnsi="Miriam" w:cs="Miriam"/>
          <w:b/>
          <w:bCs/>
          <w:spacing w:val="6"/>
          <w:sz w:val="24"/>
          <w:szCs w:val="24"/>
          <w:rtl/>
        </w:rPr>
        <w:t>ש. כאשר את תובעת חצי מיליון ₪ איך את בעצם מחלקת חצי מיליון ₪ לנזקים שנגרמו לך?</w:t>
      </w:r>
      <w:r>
        <w:rPr>
          <w:rFonts w:ascii="Miriam" w:hAnsi="Miriam" w:cs="Miriam"/>
          <w:spacing w:val="6"/>
          <w:sz w:val="24"/>
          <w:szCs w:val="24"/>
          <w:rtl/>
        </w:rPr>
        <w:t xml:space="preserve"> ת. אין מחיר לחופש. הבן אדם עיגן אותי כמעט שנתיים מיום שהוא חתם על מתן גט בהסכמה, זה הסכום המינימלי שיכולתי לדרוש כי לא היה כסף נוסף לשלם לאגרת בית המשפט</w:t>
      </w:r>
      <w:r>
        <w:rPr>
          <w:rFonts w:ascii="David" w:hAnsi="David" w:cs="David"/>
          <w:spacing w:val="6"/>
          <w:sz w:val="24"/>
          <w:szCs w:val="24"/>
          <w:rtl/>
        </w:rPr>
        <w:t xml:space="preserve">" (עמ' 25, ש' 2-1). </w:t>
      </w:r>
    </w:p>
    <w:p w:rsidR="00A76863" w:rsidRDefault="00A76863" w:rsidP="00A76863">
      <w:pPr>
        <w:pStyle w:val="ad"/>
        <w:spacing w:after="0" w:line="306" w:lineRule="exact"/>
        <w:ind w:left="509"/>
        <w:jc w:val="both"/>
        <w:rPr>
          <w:rFonts w:cs="David"/>
          <w:spacing w:val="6"/>
          <w:sz w:val="24"/>
          <w:szCs w:val="24"/>
        </w:rPr>
      </w:pPr>
    </w:p>
    <w:p w:rsidR="00A76863" w:rsidRDefault="00A76863" w:rsidP="001F33B5">
      <w:pPr>
        <w:pStyle w:val="ad"/>
        <w:numPr>
          <w:ilvl w:val="0"/>
          <w:numId w:val="2"/>
        </w:numPr>
        <w:spacing w:after="0" w:line="306" w:lineRule="exact"/>
        <w:ind w:left="509"/>
        <w:jc w:val="both"/>
        <w:rPr>
          <w:rFonts w:cs="David"/>
          <w:spacing w:val="6"/>
          <w:sz w:val="24"/>
          <w:szCs w:val="24"/>
        </w:rPr>
      </w:pPr>
      <w:r>
        <w:rPr>
          <w:rFonts w:cs="David"/>
          <w:spacing w:val="6"/>
          <w:sz w:val="24"/>
          <w:szCs w:val="24"/>
          <w:rtl/>
        </w:rPr>
        <w:t>נזק מוגדר בס</w:t>
      </w:r>
      <w:r w:rsidR="001F33B5">
        <w:rPr>
          <w:rFonts w:cs="David" w:hint="cs"/>
          <w:spacing w:val="6"/>
          <w:sz w:val="24"/>
          <w:szCs w:val="24"/>
          <w:rtl/>
        </w:rPr>
        <w:t xml:space="preserve">עיף </w:t>
      </w:r>
      <w:r>
        <w:rPr>
          <w:rFonts w:cs="David"/>
          <w:spacing w:val="6"/>
          <w:sz w:val="24"/>
          <w:szCs w:val="24"/>
          <w:rtl/>
        </w:rPr>
        <w:t>2 לפקודת הנזיקין כ"</w:t>
      </w:r>
      <w:r>
        <w:rPr>
          <w:rFonts w:ascii="Miriam" w:hAnsi="Miriam" w:cs="Miriam"/>
          <w:spacing w:val="6"/>
          <w:sz w:val="24"/>
          <w:szCs w:val="24"/>
          <w:rtl/>
        </w:rPr>
        <w:t>אובדן חיים, אובדן נכס, נוחות, רווחה גופנית או שם טוב או חיסור מהם, וכל אובדן וחיסור כיוצאים באלה</w:t>
      </w:r>
      <w:r>
        <w:rPr>
          <w:rFonts w:cs="David"/>
          <w:spacing w:val="6"/>
          <w:sz w:val="24"/>
          <w:szCs w:val="24"/>
          <w:rtl/>
        </w:rPr>
        <w:t xml:space="preserve">". </w:t>
      </w:r>
    </w:p>
    <w:p w:rsidR="00A76863" w:rsidRPr="001F33B5" w:rsidRDefault="00A76863" w:rsidP="00A76863">
      <w:pPr>
        <w:pStyle w:val="ad"/>
        <w:spacing w:after="0" w:line="306" w:lineRule="exact"/>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בהתאם לפסיקה הגדרה זו רחבה דיה בכדי לכלול נזק שאינו מוחשי או ממוני, כגון פגיעה נפשית, פגיעה באוטונומיה, כאב, צער, סבל, עוגמת נפש וכיו"ב וקבעה כי הם עשויים להיות נזק בר פיצוי בנזיקין [</w:t>
      </w:r>
      <w:r>
        <w:rPr>
          <w:rFonts w:ascii="Miriam" w:hAnsi="Miriam" w:cs="Miriam"/>
          <w:spacing w:val="6"/>
          <w:sz w:val="24"/>
          <w:szCs w:val="24"/>
          <w:rtl/>
        </w:rPr>
        <w:t>ע"א 2781/93 מיאסה עלי דעקה נ' בית החולים "כרמל" חיפה, פ"ד נג(4) 526 (1999); ע"א 558/84 כרמלי נ' מדינת ישראל, פ"ד מא(3) 757 (1987)</w:t>
      </w:r>
      <w:r>
        <w:rPr>
          <w:rFonts w:cs="David"/>
          <w:spacing w:val="6"/>
          <w:sz w:val="24"/>
          <w:szCs w:val="24"/>
          <w:rtl/>
        </w:rPr>
        <w:t xml:space="preserve">].    </w:t>
      </w: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בדומה, הכירו אף בתי המשפט לענייני משפחה בנזקים הנפשיים של מסורבי הגט כנזקים בני פיצוי, כאשר הנזק אשר קיומו מוכח מעצם סרבנות הגט, אינו נזק ממוני, ועיקרו פגיעה באוטונומיה, בחירות ובכבוד.</w:t>
      </w:r>
    </w:p>
    <w:p w:rsidR="00A76863" w:rsidRDefault="00A76863" w:rsidP="00A76863">
      <w:pPr>
        <w:pStyle w:val="1"/>
        <w:spacing w:after="0" w:line="306" w:lineRule="exact"/>
        <w:rPr>
          <w:rFonts w:cs="David"/>
          <w:spacing w:val="6"/>
          <w:szCs w:val="24"/>
        </w:rPr>
      </w:pPr>
    </w:p>
    <w:p w:rsidR="00A76863" w:rsidRDefault="00A76863" w:rsidP="00A76863">
      <w:pPr>
        <w:pStyle w:val="1"/>
        <w:spacing w:after="0" w:line="306" w:lineRule="exact"/>
        <w:rPr>
          <w:rFonts w:ascii="Miriam" w:hAnsi="Miriam" w:cs="Miriam"/>
          <w:spacing w:val="6"/>
          <w:szCs w:val="24"/>
          <w:rtl/>
        </w:rPr>
      </w:pPr>
      <w:r>
        <w:rPr>
          <w:rFonts w:cs="David"/>
          <w:spacing w:val="6"/>
          <w:szCs w:val="24"/>
          <w:rtl/>
        </w:rPr>
        <w:t>"</w:t>
      </w:r>
      <w:r>
        <w:rPr>
          <w:rFonts w:ascii="Miriam" w:hAnsi="Miriam" w:cs="Miriam"/>
          <w:spacing w:val="6"/>
          <w:szCs w:val="24"/>
          <w:rtl/>
        </w:rPr>
        <w:t>ראש הנזק של פגיעה באוטונומיה מתקיים בכל הקשור לאישה הנאלצת לשבת תחתיה כיוון שבעלה מסרב לשחררה מכבלי עגינותה. כך נשללת ממנה האפשרות להינשא לאחר ולהביא ילדים לעולם (שכן ילדיה יחשבו כממזרים כל עוד לא ניתן לה גיטה), חופש הבחירה של האשה נפגע, אם כן, באופן קשה ומהותי...</w:t>
      </w:r>
    </w:p>
    <w:p w:rsidR="00A76863" w:rsidRDefault="00A76863" w:rsidP="00A76863">
      <w:pPr>
        <w:pStyle w:val="1"/>
        <w:spacing w:after="0" w:line="306" w:lineRule="exact"/>
        <w:rPr>
          <w:rFonts w:asciiTheme="minorHAnsi" w:hAnsiTheme="minorHAnsi" w:cs="David"/>
          <w:spacing w:val="6"/>
          <w:szCs w:val="24"/>
          <w:rtl/>
        </w:rPr>
      </w:pPr>
      <w:r>
        <w:rPr>
          <w:rFonts w:ascii="Miriam" w:hAnsi="Miriam" w:cs="Miriam"/>
          <w:spacing w:val="6"/>
          <w:szCs w:val="24"/>
          <w:rtl/>
        </w:rPr>
        <w:t>הנה פרטנו ראשי נזק רבים לנזקיה של האשה היושבת בעגינותה נוכח סירוב בעלה לשחררה מכבליה – הפגיעה בפרטיות, הפגיעה באוטונומיה, הפגיעה בחופש, הפגיעה בזכות ללדת ילדים וכיוצ"ב. ומעל הכל עומד ראש הנזק הכללי של – כאב וסבל, סיבלה של אישה השבויה בידי בעלה – כלואה בכלא ללא סורגים...</w:t>
      </w:r>
      <w:r>
        <w:rPr>
          <w:rFonts w:cs="David"/>
          <w:spacing w:val="6"/>
          <w:szCs w:val="24"/>
          <w:rtl/>
        </w:rPr>
        <w:t>" [</w:t>
      </w:r>
      <w:r>
        <w:rPr>
          <w:rFonts w:ascii="Miriam" w:hAnsi="Miriam" w:cs="Miriam"/>
          <w:spacing w:val="6"/>
          <w:szCs w:val="24"/>
          <w:rtl/>
        </w:rPr>
        <w:t>תמ"ש (כ"ס) 19480/05 פלוני נ' עיזבון המנוח פלוני ז"ל (30.4.2006)</w:t>
      </w:r>
      <w:r>
        <w:rPr>
          <w:rFonts w:cs="David"/>
          <w:spacing w:val="6"/>
          <w:szCs w:val="24"/>
          <w:rtl/>
        </w:rPr>
        <w:t>].</w:t>
      </w:r>
    </w:p>
    <w:p w:rsidR="00A76863" w:rsidRDefault="00A76863" w:rsidP="00A76863">
      <w:pPr>
        <w:pStyle w:val="1"/>
        <w:spacing w:after="0" w:line="306" w:lineRule="exact"/>
        <w:rPr>
          <w:rFonts w:cs="David"/>
          <w:spacing w:val="6"/>
          <w:szCs w:val="24"/>
          <w:rtl/>
        </w:rPr>
      </w:pPr>
    </w:p>
    <w:p w:rsidR="00A76863" w:rsidRDefault="00A76863" w:rsidP="001A771C">
      <w:pPr>
        <w:pStyle w:val="1"/>
        <w:spacing w:after="0" w:line="306" w:lineRule="exact"/>
        <w:rPr>
          <w:rFonts w:ascii="Miriam" w:hAnsi="Miriam" w:cs="Miriam"/>
          <w:b w:val="0"/>
          <w:spacing w:val="6"/>
          <w:szCs w:val="24"/>
          <w:rtl/>
        </w:rPr>
      </w:pPr>
      <w:r>
        <w:rPr>
          <w:rFonts w:cs="David"/>
          <w:spacing w:val="6"/>
          <w:szCs w:val="24"/>
          <w:rtl/>
        </w:rPr>
        <w:t>"</w:t>
      </w:r>
      <w:r>
        <w:rPr>
          <w:rFonts w:ascii="Miriam" w:hAnsi="Miriam" w:cs="Miriam"/>
          <w:spacing w:val="6"/>
          <w:szCs w:val="24"/>
          <w:rtl/>
        </w:rPr>
        <w:t>הפגיעה באוטונומיה של האישה, שהינה פועל יוצא מעיגונה על ידי בעלה, הינה לדעתי נזק בר פיצוי לפי</w:t>
      </w:r>
      <w:r w:rsidR="001F33B5">
        <w:rPr>
          <w:rFonts w:ascii="Miriam" w:hAnsi="Miriam" w:cs="Miriam" w:hint="cs"/>
          <w:spacing w:val="6"/>
          <w:szCs w:val="24"/>
          <w:rtl/>
        </w:rPr>
        <w:t xml:space="preserve"> פקודת</w:t>
      </w:r>
      <w:r w:rsidR="001A771C">
        <w:rPr>
          <w:rFonts w:ascii="Miriam" w:hAnsi="Miriam" w:cs="Miriam" w:hint="cs"/>
          <w:spacing w:val="6"/>
          <w:szCs w:val="24"/>
          <w:rtl/>
        </w:rPr>
        <w:t xml:space="preserve"> הנזיקין</w:t>
      </w:r>
      <w:r>
        <w:rPr>
          <w:rFonts w:cs="David"/>
          <w:spacing w:val="6"/>
          <w:szCs w:val="24"/>
          <w:rtl/>
        </w:rPr>
        <w:t>" [</w:t>
      </w:r>
      <w:r>
        <w:rPr>
          <w:rFonts w:ascii="Miriam" w:hAnsi="Miriam" w:cs="Miriam"/>
          <w:spacing w:val="6"/>
          <w:szCs w:val="24"/>
          <w:rtl/>
        </w:rPr>
        <w:t xml:space="preserve">תמ"ש (י-ם) </w:t>
      </w:r>
      <w:r>
        <w:rPr>
          <w:rFonts w:ascii="Miriam" w:hAnsi="Miriam" w:cs="Miriam"/>
          <w:b w:val="0"/>
          <w:spacing w:val="6"/>
          <w:szCs w:val="24"/>
          <w:rtl/>
        </w:rPr>
        <w:t>3950/00 פלונית נ' פלוני ואח' (23.1.2001)].</w:t>
      </w:r>
    </w:p>
    <w:p w:rsidR="00A76863" w:rsidRDefault="00A76863" w:rsidP="00A76863">
      <w:pPr>
        <w:pStyle w:val="1"/>
        <w:spacing w:after="0" w:line="306" w:lineRule="exact"/>
        <w:rPr>
          <w:rFonts w:asciiTheme="minorHAnsi" w:hAnsiTheme="minorHAnsi" w:cs="David"/>
          <w:spacing w:val="6"/>
          <w:szCs w:val="24"/>
          <w:rtl/>
        </w:rPr>
      </w:pPr>
    </w:p>
    <w:p w:rsidR="00A76863" w:rsidRDefault="00A76863" w:rsidP="00A76863">
      <w:pPr>
        <w:pStyle w:val="1"/>
        <w:spacing w:after="0" w:line="306" w:lineRule="exact"/>
        <w:rPr>
          <w:rFonts w:cs="David"/>
          <w:spacing w:val="6"/>
          <w:szCs w:val="24"/>
          <w:rtl/>
        </w:rPr>
      </w:pPr>
      <w:r>
        <w:rPr>
          <w:rFonts w:cs="David"/>
          <w:spacing w:val="6"/>
          <w:szCs w:val="24"/>
          <w:rtl/>
        </w:rPr>
        <w:t>"</w:t>
      </w:r>
      <w:r>
        <w:rPr>
          <w:rFonts w:ascii="Miriam" w:hAnsi="Miriam" w:cs="Miriam"/>
          <w:spacing w:val="6"/>
          <w:szCs w:val="24"/>
          <w:rtl/>
        </w:rPr>
        <w:t>הנתבע גזר על האישה בדידות, העדר זוגיות אינטימיות וחיי אישות עם בן המין השני. התובע פגע קשות באוטונומיה של התובעת, בזכותה לממש את עצמה, ופגע בכבודה, בחירותה, תוך שגרם לה נזק נפשי גדול...</w:t>
      </w:r>
    </w:p>
    <w:p w:rsidR="00A76863" w:rsidRDefault="00A76863" w:rsidP="00A76863">
      <w:pPr>
        <w:pStyle w:val="1"/>
        <w:spacing w:after="0" w:line="306" w:lineRule="exact"/>
        <w:rPr>
          <w:rFonts w:cs="David"/>
          <w:spacing w:val="6"/>
          <w:szCs w:val="24"/>
          <w:rtl/>
        </w:rPr>
      </w:pPr>
      <w:r>
        <w:rPr>
          <w:rFonts w:ascii="Miriam" w:hAnsi="Miriam" w:cs="Miriam"/>
          <w:b w:val="0"/>
          <w:spacing w:val="6"/>
          <w:szCs w:val="24"/>
          <w:rtl/>
        </w:rPr>
        <w:t>הנתבע העמיד את התובעת במצב נפשי קשה של חוסר אונים, של תלות מוחלטת בו בכל האמור לסיום קשר הנישואין... אין ספק, כי בפועל התובעת כלואה ואסורה על- ידי התובע, ללא יכולת לפרוץ ולהיחלץ מקשר הנישואין שאינה חפצה בו עוד. לפנינו כליאה חברתית ונפשית מובהקת...</w:t>
      </w:r>
      <w:r>
        <w:rPr>
          <w:rFonts w:ascii="David" w:hAnsi="David" w:cs="David"/>
          <w:b w:val="0"/>
          <w:spacing w:val="6"/>
          <w:szCs w:val="24"/>
          <w:rtl/>
        </w:rPr>
        <w:t>"</w:t>
      </w:r>
      <w:r>
        <w:rPr>
          <w:bCs/>
          <w:spacing w:val="6"/>
          <w:szCs w:val="24"/>
          <w:rtl/>
        </w:rPr>
        <w:t xml:space="preserve"> </w:t>
      </w:r>
      <w:r>
        <w:rPr>
          <w:rFonts w:cs="David"/>
          <w:spacing w:val="6"/>
          <w:szCs w:val="24"/>
          <w:rtl/>
        </w:rPr>
        <w:t>[</w:t>
      </w:r>
      <w:r>
        <w:rPr>
          <w:rFonts w:ascii="Miriam" w:hAnsi="Miriam" w:cs="Miriam"/>
          <w:spacing w:val="6"/>
          <w:szCs w:val="24"/>
          <w:rtl/>
        </w:rPr>
        <w:t>תמ"ש (י-ם) 19270/03 כ.ש נ' כ.פ (21.12.2004)</w:t>
      </w:r>
      <w:r>
        <w:rPr>
          <w:rFonts w:cs="David"/>
          <w:spacing w:val="6"/>
          <w:szCs w:val="24"/>
          <w:rtl/>
        </w:rPr>
        <w:t>].</w:t>
      </w:r>
    </w:p>
    <w:p w:rsidR="00A76863" w:rsidRDefault="00A76863" w:rsidP="00A76863">
      <w:pPr>
        <w:spacing w:line="306" w:lineRule="exact"/>
        <w:rPr>
          <w:spacing w:val="6"/>
          <w:rtl/>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בענייננו, התובעת לא תמכה את תביעתה בראיות ולא ביקשה למנות מומחה שייתן חוות דעת לצורך הערכת הנזקים אשר לטענתה נגרמו לה, היקפם ושיעורם. </w:t>
      </w:r>
    </w:p>
    <w:p w:rsidR="00A76863" w:rsidRDefault="00A76863" w:rsidP="00A76863">
      <w:pPr>
        <w:pStyle w:val="ad"/>
        <w:spacing w:after="0" w:line="306" w:lineRule="exact"/>
        <w:ind w:left="509"/>
        <w:jc w:val="both"/>
        <w:rPr>
          <w:rFonts w:ascii="David" w:hAnsi="David" w:cs="David"/>
          <w:spacing w:val="6"/>
          <w:sz w:val="24"/>
          <w:szCs w:val="24"/>
        </w:rPr>
      </w:pPr>
    </w:p>
    <w:p w:rsidR="00A76863" w:rsidRDefault="00A76863" w:rsidP="00A76863">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אולם, אין בכך כדי להכשיל את תביעתה. </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A76863">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מהפסיקה עולה, כי במקרים רבים אין צורך בראיה על נזק בלתי ממוני והיקפו, שבשל טיבו וטבעו קשה הוא לכימות, וקיומו עולה מעצם הפרת החובה על ידי המזיק.</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A76863">
      <w:pPr>
        <w:pStyle w:val="ad"/>
        <w:spacing w:after="0" w:line="306" w:lineRule="exact"/>
        <w:ind w:left="509"/>
        <w:jc w:val="both"/>
        <w:rPr>
          <w:rFonts w:ascii="David" w:hAnsi="David" w:cs="David"/>
          <w:spacing w:val="6"/>
          <w:sz w:val="24"/>
          <w:szCs w:val="24"/>
        </w:rPr>
      </w:pPr>
      <w:r>
        <w:rPr>
          <w:rFonts w:ascii="David" w:hAnsi="David" w:cs="David"/>
          <w:spacing w:val="6"/>
          <w:sz w:val="24"/>
          <w:szCs w:val="24"/>
          <w:rtl/>
        </w:rPr>
        <w:t>ב</w:t>
      </w:r>
      <w:r>
        <w:rPr>
          <w:rFonts w:ascii="Miriam" w:hAnsi="Miriam" w:cs="Miriam"/>
          <w:spacing w:val="6"/>
          <w:sz w:val="24"/>
          <w:szCs w:val="24"/>
          <w:rtl/>
        </w:rPr>
        <w:t>ע"א 1730/92 מצראווה נ' מצראווה (29.3.1995)</w:t>
      </w:r>
      <w:r>
        <w:rPr>
          <w:rFonts w:ascii="David" w:hAnsi="David" w:cs="David"/>
          <w:spacing w:val="6"/>
          <w:sz w:val="24"/>
          <w:szCs w:val="24"/>
          <w:rtl/>
        </w:rPr>
        <w:t xml:space="preserve">, שם נדון עניינה של אישה אשר גורשה על ידי בעלה בעל כורחה, קבע בית המשפט העליון, כי על אף שהתובעת לא הביאה ראיות לעניין הנזק הממשי שנגרם לה ושיעורו, הרי שהסבל שנגרם לה טבוע מעצם העובדה </w:t>
      </w:r>
      <w:r>
        <w:rPr>
          <w:rFonts w:ascii="David" w:hAnsi="David" w:cs="David"/>
          <w:spacing w:val="6"/>
          <w:sz w:val="24"/>
          <w:szCs w:val="24"/>
          <w:rtl/>
        </w:rPr>
        <w:lastRenderedPageBreak/>
        <w:t>שגורשה בעל כורחה, ולא יכול להיות כל ספק שאכן נגרמו לה סבל ונזק בשל הגירושין הכפויים; לפיכך נפסק לה פיצוי מוערך בסך של 30,000 ₪.</w:t>
      </w:r>
    </w:p>
    <w:p w:rsidR="00A76863" w:rsidRDefault="00A76863" w:rsidP="00A76863">
      <w:pPr>
        <w:pStyle w:val="ad"/>
        <w:spacing w:after="0" w:line="306" w:lineRule="exact"/>
        <w:rPr>
          <w:rFonts w:ascii="David" w:hAnsi="David" w:cs="David"/>
          <w:spacing w:val="6"/>
          <w:sz w:val="24"/>
          <w:szCs w:val="24"/>
        </w:rPr>
      </w:pPr>
    </w:p>
    <w:p w:rsidR="00A76863" w:rsidRDefault="00A76863" w:rsidP="00A76863">
      <w:pPr>
        <w:pStyle w:val="ad"/>
        <w:spacing w:after="0" w:line="306" w:lineRule="exact"/>
        <w:ind w:left="509"/>
        <w:jc w:val="both"/>
        <w:rPr>
          <w:rFonts w:ascii="David" w:hAnsi="David" w:cs="David"/>
          <w:spacing w:val="6"/>
          <w:sz w:val="24"/>
          <w:szCs w:val="24"/>
          <w:rtl/>
        </w:rPr>
      </w:pPr>
      <w:r>
        <w:rPr>
          <w:rFonts w:ascii="David" w:hAnsi="David" w:cs="David"/>
          <w:spacing w:val="6"/>
          <w:sz w:val="24"/>
          <w:szCs w:val="24"/>
          <w:rtl/>
        </w:rPr>
        <w:t>ב</w:t>
      </w:r>
      <w:r>
        <w:rPr>
          <w:rFonts w:ascii="Miriam" w:hAnsi="Miriam" w:cs="Miriam"/>
          <w:spacing w:val="6"/>
          <w:sz w:val="24"/>
          <w:szCs w:val="24"/>
          <w:rtl/>
        </w:rPr>
        <w:t>ע"א 2781/93 דעקה נ' בית החולים "כרמל" חיפה, פ"ד נג(4) 526 (1999)</w:t>
      </w:r>
      <w:r>
        <w:rPr>
          <w:rFonts w:ascii="David" w:hAnsi="David" w:cs="David"/>
          <w:spacing w:val="6"/>
          <w:sz w:val="24"/>
          <w:szCs w:val="24"/>
          <w:rtl/>
        </w:rPr>
        <w:t>, נקבע, כי כאשר מדובר בנזק כללי, להבדיל מנזק ממון, עשוי בית המשפט לפסוק, בנסיבות המתאימות, פיצוי כספי מסויג גם בהעדר הוכחה מפורטת של נזק ממשי.</w:t>
      </w:r>
    </w:p>
    <w:p w:rsidR="00A76863" w:rsidRDefault="00A76863" w:rsidP="00A76863">
      <w:pPr>
        <w:pStyle w:val="ad"/>
        <w:spacing w:after="0" w:line="306" w:lineRule="exact"/>
        <w:ind w:left="509"/>
        <w:jc w:val="both"/>
        <w:rPr>
          <w:rFonts w:ascii="David" w:hAnsi="David" w:cs="David"/>
          <w:spacing w:val="6"/>
          <w:sz w:val="24"/>
          <w:szCs w:val="24"/>
          <w:rtl/>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 xml:space="preserve">עיקרון זה יושם גם בתביעות נזיקיות של אישה כנגד בעלה בגין עגינות, תוך שבתי המשפט לענייני משפחה הכירו בקיומו של נזק שאינו ממוני גם אם קיומו או היקפו לא הוכחו בראיות. </w:t>
      </w:r>
    </w:p>
    <w:p w:rsidR="00A76863" w:rsidRDefault="00A76863" w:rsidP="00A76863">
      <w:pPr>
        <w:pStyle w:val="ad"/>
        <w:spacing w:after="0" w:line="306" w:lineRule="exact"/>
        <w:rPr>
          <w:rFonts w:cs="David"/>
          <w:spacing w:val="6"/>
          <w:sz w:val="24"/>
          <w:szCs w:val="24"/>
          <w:rtl/>
        </w:rPr>
      </w:pPr>
    </w:p>
    <w:p w:rsidR="00A76863" w:rsidRDefault="00A76863" w:rsidP="00A76863">
      <w:pPr>
        <w:pStyle w:val="1"/>
        <w:spacing w:after="0" w:line="306" w:lineRule="exact"/>
        <w:rPr>
          <w:rFonts w:cs="David"/>
          <w:spacing w:val="6"/>
          <w:szCs w:val="24"/>
          <w:rtl/>
        </w:rPr>
      </w:pPr>
      <w:r>
        <w:rPr>
          <w:rFonts w:cs="David"/>
          <w:spacing w:val="6"/>
          <w:szCs w:val="24"/>
          <w:rtl/>
        </w:rPr>
        <w:t>"</w:t>
      </w:r>
      <w:r>
        <w:rPr>
          <w:rFonts w:ascii="Miriam" w:hAnsi="Miriam" w:cs="Miriam"/>
          <w:spacing w:val="6"/>
          <w:szCs w:val="24"/>
          <w:rtl/>
        </w:rPr>
        <w:t xml:space="preserve">בשל טיבו וטבעו של נזק כללי שאינו ממוני, קשה הוא לכימות. פסיקות בתי המשפט לענייני משפחה בתביעות נזיקיות בגין סרבנות גט יישמו את ההלכה שנקבעה בע"א 1730/92 מצראווה נ' מצראווה, [פורסם בנבו] ולפיה אין צורך בראיה על הנזק הכללי והיקפו, שכן קיומו של הנזק והיקפו עולים מעצם הפרת החובה על ידי המזיק. על בסיס זה אני קובעת כי אף בהעדר ראיות על נזק ממשי, יש מקום לפסוק לתובע פיצוי בגין נזק כללי בשל היותו מסורב גט. </w:t>
      </w:r>
      <w:r>
        <w:rPr>
          <w:rFonts w:cs="David"/>
          <w:spacing w:val="6"/>
          <w:szCs w:val="24"/>
          <w:rtl/>
        </w:rPr>
        <w:t>" [</w:t>
      </w:r>
      <w:r>
        <w:rPr>
          <w:rFonts w:ascii="Miriam" w:hAnsi="Miriam" w:cs="Miriam"/>
          <w:spacing w:val="6"/>
          <w:szCs w:val="24"/>
          <w:rtl/>
        </w:rPr>
        <w:t>תמ"ש (י-ם) 46459-07-12 ז' ג' נ' ש' ג' (17.8.2014)</w:t>
      </w:r>
      <w:r>
        <w:rPr>
          <w:rFonts w:cs="David"/>
          <w:spacing w:val="6"/>
          <w:szCs w:val="24"/>
          <w:rtl/>
        </w:rPr>
        <w:t>].</w:t>
      </w:r>
    </w:p>
    <w:p w:rsidR="00A76863" w:rsidRDefault="00A76863" w:rsidP="00A76863">
      <w:pPr>
        <w:pStyle w:val="1"/>
        <w:spacing w:after="0" w:line="306" w:lineRule="exact"/>
        <w:rPr>
          <w:rFonts w:cs="David"/>
          <w:spacing w:val="6"/>
          <w:szCs w:val="24"/>
          <w:rtl/>
        </w:rPr>
      </w:pPr>
    </w:p>
    <w:p w:rsidR="00A76863" w:rsidRDefault="00A76863" w:rsidP="00A76863">
      <w:pPr>
        <w:pStyle w:val="1"/>
        <w:spacing w:after="0" w:line="306" w:lineRule="exact"/>
        <w:rPr>
          <w:rFonts w:cs="David"/>
          <w:spacing w:val="6"/>
          <w:szCs w:val="24"/>
          <w:rtl/>
        </w:rPr>
      </w:pPr>
      <w:r>
        <w:rPr>
          <w:rFonts w:cs="David"/>
          <w:spacing w:val="6"/>
          <w:szCs w:val="24"/>
          <w:rtl/>
        </w:rPr>
        <w:t>"</w:t>
      </w:r>
      <w:r>
        <w:rPr>
          <w:rFonts w:ascii="Miriam" w:hAnsi="Miriam" w:cs="Miriam"/>
          <w:spacing w:val="6"/>
          <w:szCs w:val="24"/>
          <w:rtl/>
        </w:rPr>
        <w:t>...במקרים רבים כלל אין צורך בראיה על הנזק הכללי והיקפו, שכן קיומו של הנזק והיקפו עולים מעצם הפרת החובה על ידי המזיק. בהתאם לכך, כאשר מדובר בנזק כללי, להבדיל מנזק ממון, עשוי בית המשפט לפסוק, בנסיבות המתאימות, פיצוי כספי מסוים גם בהעדר הוכחה מפורטת של נזק ממשי</w:t>
      </w:r>
      <w:r>
        <w:rPr>
          <w:rFonts w:cs="David"/>
          <w:spacing w:val="6"/>
          <w:szCs w:val="24"/>
          <w:rtl/>
        </w:rPr>
        <w:t>" [</w:t>
      </w:r>
      <w:r>
        <w:rPr>
          <w:rFonts w:ascii="Miriam" w:hAnsi="Miriam" w:cs="Miriam"/>
          <w:spacing w:val="6"/>
          <w:szCs w:val="24"/>
          <w:rtl/>
        </w:rPr>
        <w:t>תמ"ש (י-ם) 21162/07 פלוני נ' פלונית (21.1.2010)</w:t>
      </w:r>
      <w:r>
        <w:rPr>
          <w:rFonts w:cs="David"/>
          <w:spacing w:val="6"/>
          <w:szCs w:val="24"/>
          <w:rtl/>
        </w:rPr>
        <w:t>].</w:t>
      </w:r>
    </w:p>
    <w:p w:rsidR="00A76863" w:rsidRDefault="00A76863" w:rsidP="00A76863">
      <w:pPr>
        <w:pStyle w:val="ad"/>
        <w:spacing w:after="0" w:line="306" w:lineRule="exact"/>
        <w:ind w:left="509"/>
        <w:jc w:val="both"/>
        <w:rPr>
          <w:rFonts w:cs="David"/>
          <w:spacing w:val="6"/>
          <w:sz w:val="24"/>
          <w:szCs w:val="24"/>
          <w:lang w:val="x-none"/>
        </w:rPr>
      </w:pPr>
    </w:p>
    <w:p w:rsidR="00A76863" w:rsidRDefault="00A76863" w:rsidP="004D11E6">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בנסיבות העניין, אני סבורה כי בעצם סירובו של הנתבע ליתן לתובעת גט, בניגוד להתחייבותו המפורשת לעשות כן ועל אף שנהיר מאליו ש</w:t>
      </w:r>
      <w:r w:rsidR="004D11E6">
        <w:rPr>
          <w:rFonts w:cs="David" w:hint="cs"/>
          <w:spacing w:val="6"/>
          <w:sz w:val="24"/>
          <w:szCs w:val="24"/>
          <w:rtl/>
        </w:rPr>
        <w:t xml:space="preserve">אין תוחלת להמשך הנישואין </w:t>
      </w:r>
      <w:r>
        <w:rPr>
          <w:rFonts w:cs="David"/>
          <w:spacing w:val="6"/>
          <w:sz w:val="24"/>
          <w:szCs w:val="24"/>
          <w:rtl/>
        </w:rPr>
        <w:t>ואין כל היתכנות לשלום בית ביניהם, לא יכול להיות כל ספק בהיגרמו של נזק וסבל לתובעת, ובכלל זה: פגיעה באוטונומיה, בזכותה למימוש עצמי, בכבודה ובחירותה, בזכות לבחור עם מי לבלות את חייה ועם מי לא, שלילת האפשרות להינשא לאחר. המדובר לדידי בנזקים אינהרנטיים לעצם המעשה.</w:t>
      </w:r>
    </w:p>
    <w:p w:rsidR="00A76863" w:rsidRDefault="00A76863" w:rsidP="00A76863">
      <w:pPr>
        <w:pStyle w:val="ad"/>
        <w:spacing w:after="0" w:line="306" w:lineRule="exact"/>
        <w:ind w:left="509"/>
        <w:jc w:val="both"/>
        <w:rPr>
          <w:rFonts w:cs="David"/>
          <w:spacing w:val="6"/>
          <w:sz w:val="24"/>
          <w:szCs w:val="24"/>
        </w:rPr>
      </w:pPr>
    </w:p>
    <w:p w:rsidR="00A76863" w:rsidRDefault="00A76863" w:rsidP="004D11E6">
      <w:pPr>
        <w:pStyle w:val="ad"/>
        <w:numPr>
          <w:ilvl w:val="0"/>
          <w:numId w:val="2"/>
        </w:numPr>
        <w:spacing w:after="0" w:line="306" w:lineRule="exact"/>
        <w:ind w:left="509"/>
        <w:jc w:val="both"/>
        <w:rPr>
          <w:rFonts w:cs="David"/>
          <w:spacing w:val="6"/>
          <w:sz w:val="24"/>
          <w:szCs w:val="24"/>
        </w:rPr>
      </w:pPr>
      <w:r>
        <w:rPr>
          <w:rFonts w:cs="David"/>
          <w:spacing w:val="6"/>
          <w:sz w:val="24"/>
          <w:szCs w:val="24"/>
          <w:rtl/>
        </w:rPr>
        <w:t xml:space="preserve">באשר לטענות התובעת לנזקים ממוניים, ובכלל זה הוצאות כספיות עקב ההליכים המשפטיים השונים שלטענתה נכפו עליה על ידי הנתבע, מעבר לכך שאלה לא הוכחו בראיות כלל, ולא הוצגה כל אסמכתא על גובה שכר הטרחה לתשלומו נדרשה </w:t>
      </w:r>
      <w:r w:rsidR="004D11E6">
        <w:rPr>
          <w:rFonts w:cs="David" w:hint="cs"/>
          <w:spacing w:val="6"/>
          <w:sz w:val="24"/>
          <w:szCs w:val="24"/>
          <w:rtl/>
        </w:rPr>
        <w:t xml:space="preserve">התובעת לצורך </w:t>
      </w:r>
      <w:r>
        <w:rPr>
          <w:rFonts w:cs="David"/>
          <w:spacing w:val="6"/>
          <w:sz w:val="24"/>
          <w:szCs w:val="24"/>
          <w:rtl/>
        </w:rPr>
        <w:t xml:space="preserve">ניהול ההליך; הרי שבכל מקרה, אין בסמכות בית משפט זה לפסוק הוצאות בגין ההוצאות שהיו כרוכות בהגשת תביעת הגירושין לבית הדין הרבני וניהול ההליך שם; </w:t>
      </w:r>
      <w:r>
        <w:rPr>
          <w:rFonts w:cs="David"/>
          <w:spacing w:val="6"/>
          <w:sz w:val="24"/>
          <w:szCs w:val="24"/>
          <w:rtl/>
        </w:rPr>
        <w:lastRenderedPageBreak/>
        <w:t>סמכות בית משפט זה הינה לפסוק הוצאות אך ורק ביחס להליך שמתנהל בפניו; ואכן באשר להוצאות הליך זה, הרי שאלה כבכל הליך אחר ייבחנו וייפסקו בפסק הדין.</w:t>
      </w:r>
    </w:p>
    <w:p w:rsidR="00A76863" w:rsidRPr="004D11E6" w:rsidRDefault="00A76863" w:rsidP="00A76863">
      <w:pPr>
        <w:spacing w:line="306" w:lineRule="exact"/>
        <w:ind w:firstLine="720"/>
        <w:jc w:val="both"/>
        <w:rPr>
          <w:rFonts w:ascii="David" w:hAnsi="David"/>
          <w:spacing w:val="6"/>
        </w:rPr>
      </w:pPr>
    </w:p>
    <w:p w:rsidR="00A76863" w:rsidRDefault="00A76863" w:rsidP="00A76863">
      <w:pPr>
        <w:pStyle w:val="ad"/>
        <w:spacing w:after="0" w:line="306" w:lineRule="exact"/>
        <w:ind w:left="0"/>
        <w:jc w:val="both"/>
        <w:rPr>
          <w:rFonts w:ascii="David" w:hAnsi="David" w:cs="David"/>
          <w:b/>
          <w:bCs/>
          <w:spacing w:val="6"/>
          <w:sz w:val="24"/>
          <w:szCs w:val="24"/>
          <w:u w:val="single"/>
          <w:rtl/>
        </w:rPr>
      </w:pPr>
      <w:r>
        <w:rPr>
          <w:rFonts w:ascii="David" w:hAnsi="David" w:cs="David"/>
          <w:b/>
          <w:bCs/>
          <w:spacing w:val="6"/>
          <w:sz w:val="24"/>
          <w:szCs w:val="24"/>
          <w:u w:val="single"/>
          <w:rtl/>
        </w:rPr>
        <w:t>קיומו של קשר סיבתי</w:t>
      </w:r>
    </w:p>
    <w:p w:rsidR="00A76863" w:rsidRDefault="00A76863" w:rsidP="00A76863">
      <w:pPr>
        <w:pStyle w:val="ad"/>
        <w:spacing w:after="0" w:line="306" w:lineRule="exact"/>
        <w:ind w:right="-180"/>
        <w:rPr>
          <w:spacing w:val="6"/>
          <w:sz w:val="24"/>
          <w:szCs w:val="24"/>
          <w:rtl/>
        </w:rPr>
      </w:pPr>
    </w:p>
    <w:p w:rsidR="00A76863" w:rsidRDefault="00A76863" w:rsidP="00A76863">
      <w:pPr>
        <w:pStyle w:val="ad"/>
        <w:numPr>
          <w:ilvl w:val="0"/>
          <w:numId w:val="2"/>
        </w:numPr>
        <w:spacing w:after="0" w:line="306" w:lineRule="exact"/>
        <w:ind w:left="509"/>
        <w:jc w:val="both"/>
        <w:rPr>
          <w:rFonts w:cs="David"/>
          <w:spacing w:val="6"/>
          <w:sz w:val="24"/>
          <w:szCs w:val="24"/>
          <w:rtl/>
        </w:rPr>
      </w:pPr>
      <w:r>
        <w:rPr>
          <w:rFonts w:cs="David"/>
          <w:spacing w:val="6"/>
          <w:sz w:val="24"/>
          <w:szCs w:val="24"/>
          <w:rtl/>
        </w:rPr>
        <w:t>תנאי נוסף לאחריותו של המזיק היא כי התרשלותו היא שגרמה לנזקו של הניזוק, דהיינו כי קיים קשר סיבתי בין ההתרשלות לבין הנזק [</w:t>
      </w:r>
      <w:r>
        <w:rPr>
          <w:rFonts w:ascii="Miriam" w:hAnsi="Miriam" w:cs="Miriam"/>
          <w:spacing w:val="6"/>
          <w:sz w:val="24"/>
          <w:szCs w:val="24"/>
          <w:rtl/>
        </w:rPr>
        <w:t>ע"א 576/81 בן שמעון נ' ברדה, פ"ד לח(3) 1 (1984)</w:t>
      </w:r>
      <w:r>
        <w:rPr>
          <w:rFonts w:cs="David"/>
          <w:spacing w:val="6"/>
          <w:sz w:val="24"/>
          <w:szCs w:val="24"/>
          <w:rtl/>
        </w:rPr>
        <w:t>].</w:t>
      </w:r>
    </w:p>
    <w:p w:rsidR="00A76863" w:rsidRDefault="00A76863" w:rsidP="00A76863">
      <w:pPr>
        <w:pStyle w:val="ad"/>
        <w:spacing w:after="0" w:line="306" w:lineRule="exact"/>
        <w:ind w:left="509"/>
        <w:jc w:val="both"/>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spacing w:val="6"/>
          <w:sz w:val="24"/>
          <w:szCs w:val="24"/>
          <w:rtl/>
        </w:rPr>
        <w:t xml:space="preserve">בענייננו, אין ספק כי סירובו של הנתבע ליתן בידי התובעת את גיטה הוא הסיבה לסבלה הרב, על היבטיו, והקשר הוא ישיר; כלומר, מתקיים יסוד הסיבתיות שבבסיס עוולת הרשלנות.  </w:t>
      </w:r>
    </w:p>
    <w:p w:rsidR="00A76863" w:rsidRDefault="00A76863" w:rsidP="00A76863">
      <w:pPr>
        <w:pStyle w:val="Style1"/>
        <w:numPr>
          <w:ilvl w:val="0"/>
          <w:numId w:val="0"/>
        </w:numPr>
        <w:spacing w:after="0" w:line="306" w:lineRule="exact"/>
        <w:ind w:left="84"/>
        <w:rPr>
          <w:bCs/>
          <w:spacing w:val="6"/>
          <w:u w:val="single"/>
          <w:rtl/>
        </w:rPr>
      </w:pPr>
    </w:p>
    <w:p w:rsidR="00A76863" w:rsidRDefault="00A76863" w:rsidP="00A76863">
      <w:pPr>
        <w:pStyle w:val="Style1"/>
        <w:numPr>
          <w:ilvl w:val="0"/>
          <w:numId w:val="0"/>
        </w:numPr>
        <w:spacing w:after="0" w:line="306" w:lineRule="exact"/>
        <w:ind w:left="84"/>
        <w:rPr>
          <w:bCs/>
          <w:spacing w:val="6"/>
          <w:u w:val="single"/>
          <w:rtl/>
        </w:rPr>
      </w:pPr>
      <w:r>
        <w:rPr>
          <w:rFonts w:hint="cs"/>
          <w:bCs/>
          <w:spacing w:val="6"/>
          <w:u w:val="single"/>
          <w:rtl/>
        </w:rPr>
        <w:t>אומדן הנזק</w:t>
      </w:r>
    </w:p>
    <w:p w:rsidR="00A76863" w:rsidRDefault="00A76863" w:rsidP="00A76863">
      <w:pPr>
        <w:pStyle w:val="Style1"/>
        <w:numPr>
          <w:ilvl w:val="0"/>
          <w:numId w:val="0"/>
        </w:numPr>
        <w:spacing w:after="0" w:line="306" w:lineRule="exact"/>
        <w:ind w:left="84"/>
        <w:rPr>
          <w:bCs/>
          <w:spacing w:val="6"/>
          <w:u w:val="single"/>
          <w:rtl/>
        </w:rPr>
      </w:pPr>
    </w:p>
    <w:p w:rsidR="00A76863" w:rsidRDefault="00A76863" w:rsidP="00A76863">
      <w:pPr>
        <w:pStyle w:val="ad"/>
        <w:numPr>
          <w:ilvl w:val="0"/>
          <w:numId w:val="2"/>
        </w:numPr>
        <w:spacing w:after="0" w:line="306" w:lineRule="exact"/>
        <w:ind w:left="509"/>
        <w:jc w:val="both"/>
        <w:rPr>
          <w:rFonts w:ascii="David" w:hAnsi="David" w:cs="David"/>
          <w:b/>
          <w:spacing w:val="6"/>
          <w:sz w:val="24"/>
          <w:szCs w:val="24"/>
          <w:u w:val="single"/>
        </w:rPr>
      </w:pPr>
      <w:r>
        <w:rPr>
          <w:rFonts w:ascii="David" w:hAnsi="David" w:cs="David"/>
          <w:b/>
          <w:spacing w:val="6"/>
          <w:sz w:val="24"/>
          <w:szCs w:val="24"/>
          <w:rtl/>
        </w:rPr>
        <w:t xml:space="preserve">לאחר שהגעתי לכלל מסקנה, כי התנהגות הנתבע וסירובו במשך כ-21 חודשים לתת גט לאשתו הינם בגדר עוולה המזכה את התובעת לפיצוי, יש לקבוע את גובה הפיצוי. </w:t>
      </w:r>
    </w:p>
    <w:p w:rsidR="00A76863" w:rsidRDefault="00A76863" w:rsidP="00A76863">
      <w:pPr>
        <w:pStyle w:val="1"/>
        <w:spacing w:after="0" w:line="306" w:lineRule="exact"/>
        <w:rPr>
          <w:rFonts w:asciiTheme="minorHAnsi" w:hAnsiTheme="minorHAnsi" w:cs="David"/>
          <w:spacing w:val="6"/>
          <w:szCs w:val="24"/>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בפסיקה נקבע מהם השיקולים שעל בית המשפט להתחשב בקביעת גובה הנזק בתביעות של סרבנות גט ואלה עיקרם:</w:t>
      </w:r>
    </w:p>
    <w:p w:rsidR="00A76863" w:rsidRDefault="00A76863" w:rsidP="00A76863">
      <w:pPr>
        <w:pStyle w:val="ad"/>
        <w:spacing w:after="0" w:line="306" w:lineRule="exact"/>
        <w:rPr>
          <w:rFonts w:ascii="David" w:hAnsi="David" w:cs="David"/>
          <w:spacing w:val="6"/>
          <w:sz w:val="24"/>
          <w:szCs w:val="24"/>
        </w:rPr>
      </w:pPr>
    </w:p>
    <w:p w:rsidR="00A76863" w:rsidRDefault="00A76863" w:rsidP="00A76863">
      <w:pPr>
        <w:pStyle w:val="ad"/>
        <w:numPr>
          <w:ilvl w:val="0"/>
          <w:numId w:val="6"/>
        </w:numPr>
        <w:spacing w:after="0" w:line="306" w:lineRule="exact"/>
        <w:jc w:val="both"/>
        <w:rPr>
          <w:rFonts w:ascii="David" w:hAnsi="David" w:cs="David"/>
          <w:spacing w:val="6"/>
          <w:sz w:val="24"/>
          <w:szCs w:val="24"/>
          <w:rtl/>
        </w:rPr>
      </w:pPr>
      <w:r>
        <w:rPr>
          <w:rFonts w:ascii="David" w:hAnsi="David" w:cs="David"/>
          <w:spacing w:val="6"/>
          <w:sz w:val="24"/>
          <w:szCs w:val="24"/>
          <w:rtl/>
        </w:rPr>
        <w:t xml:space="preserve">האם מסורב הגט הינו </w:t>
      </w:r>
      <w:r>
        <w:rPr>
          <w:rFonts w:ascii="David" w:hAnsi="David" w:cs="David"/>
          <w:b/>
          <w:bCs/>
          <w:spacing w:val="6"/>
          <w:sz w:val="24"/>
          <w:szCs w:val="24"/>
          <w:rtl/>
        </w:rPr>
        <w:t>הבעל או האישה</w:t>
      </w:r>
      <w:r>
        <w:rPr>
          <w:rFonts w:ascii="David" w:hAnsi="David" w:cs="David"/>
          <w:spacing w:val="6"/>
          <w:sz w:val="24"/>
          <w:szCs w:val="24"/>
          <w:rtl/>
        </w:rPr>
        <w:t xml:space="preserve"> (סכום הפיצוי כאשר הגבר סרבן גט גבוה בממוצע בכמעט פי שלושה מסכום הפיצוי שנפסק כאשר האישה היא הסרבנית); </w:t>
      </w:r>
    </w:p>
    <w:p w:rsidR="00A76863" w:rsidRDefault="00A76863" w:rsidP="00A76863">
      <w:pPr>
        <w:pStyle w:val="ad"/>
        <w:numPr>
          <w:ilvl w:val="0"/>
          <w:numId w:val="6"/>
        </w:numPr>
        <w:spacing w:after="0" w:line="306" w:lineRule="exact"/>
        <w:jc w:val="both"/>
        <w:rPr>
          <w:rFonts w:ascii="David" w:hAnsi="David" w:cs="David"/>
          <w:spacing w:val="6"/>
          <w:sz w:val="24"/>
          <w:szCs w:val="24"/>
        </w:rPr>
      </w:pPr>
      <w:r>
        <w:rPr>
          <w:rFonts w:ascii="David" w:hAnsi="David" w:cs="David"/>
          <w:b/>
          <w:bCs/>
          <w:spacing w:val="6"/>
          <w:sz w:val="24"/>
          <w:szCs w:val="24"/>
          <w:rtl/>
        </w:rPr>
        <w:t>גיל האישה</w:t>
      </w:r>
      <w:r>
        <w:rPr>
          <w:rFonts w:ascii="David" w:hAnsi="David" w:cs="David"/>
          <w:spacing w:val="6"/>
          <w:sz w:val="24"/>
          <w:szCs w:val="24"/>
          <w:rtl/>
        </w:rPr>
        <w:t xml:space="preserve">; </w:t>
      </w:r>
    </w:p>
    <w:p w:rsidR="00A76863" w:rsidRDefault="00A76863" w:rsidP="00A76863">
      <w:pPr>
        <w:pStyle w:val="ad"/>
        <w:numPr>
          <w:ilvl w:val="0"/>
          <w:numId w:val="6"/>
        </w:numPr>
        <w:spacing w:after="0" w:line="306" w:lineRule="exact"/>
        <w:jc w:val="both"/>
        <w:rPr>
          <w:rFonts w:ascii="David" w:hAnsi="David" w:cs="David"/>
          <w:spacing w:val="6"/>
          <w:sz w:val="24"/>
          <w:szCs w:val="24"/>
        </w:rPr>
      </w:pPr>
      <w:r>
        <w:rPr>
          <w:rFonts w:ascii="David" w:hAnsi="David" w:cs="David"/>
          <w:b/>
          <w:bCs/>
          <w:spacing w:val="6"/>
          <w:sz w:val="24"/>
          <w:szCs w:val="24"/>
          <w:rtl/>
        </w:rPr>
        <w:t>משך סרבנות הגט</w:t>
      </w:r>
      <w:r>
        <w:rPr>
          <w:rFonts w:ascii="David" w:hAnsi="David" w:cs="David"/>
          <w:spacing w:val="6"/>
          <w:sz w:val="24"/>
          <w:szCs w:val="24"/>
          <w:rtl/>
        </w:rPr>
        <w:t xml:space="preserve">; </w:t>
      </w:r>
    </w:p>
    <w:p w:rsidR="00A76863" w:rsidRDefault="00A76863" w:rsidP="00A76863">
      <w:pPr>
        <w:pStyle w:val="ad"/>
        <w:numPr>
          <w:ilvl w:val="0"/>
          <w:numId w:val="6"/>
        </w:numPr>
        <w:spacing w:after="0" w:line="306" w:lineRule="exact"/>
        <w:jc w:val="both"/>
        <w:rPr>
          <w:rFonts w:ascii="David" w:hAnsi="David" w:cs="David"/>
          <w:spacing w:val="6"/>
          <w:sz w:val="24"/>
          <w:szCs w:val="24"/>
        </w:rPr>
      </w:pPr>
      <w:r>
        <w:rPr>
          <w:rFonts w:ascii="David" w:hAnsi="David" w:cs="David"/>
          <w:spacing w:val="6"/>
          <w:sz w:val="24"/>
          <w:szCs w:val="24"/>
          <w:rtl/>
        </w:rPr>
        <w:t xml:space="preserve">האם בפועל </w:t>
      </w:r>
      <w:r>
        <w:rPr>
          <w:rFonts w:ascii="David" w:hAnsi="David" w:cs="David"/>
          <w:b/>
          <w:bCs/>
          <w:spacing w:val="6"/>
          <w:sz w:val="24"/>
          <w:szCs w:val="24"/>
          <w:rtl/>
        </w:rPr>
        <w:t>נמנעה ממסורב הגט חיי זוגיות או חיי משפחה</w:t>
      </w:r>
      <w:r>
        <w:rPr>
          <w:rFonts w:ascii="David" w:hAnsi="David" w:cs="David"/>
          <w:spacing w:val="6"/>
          <w:sz w:val="24"/>
          <w:szCs w:val="24"/>
          <w:rtl/>
        </w:rPr>
        <w:t xml:space="preserve"> אחרים עקב סרבנות הגט; </w:t>
      </w:r>
    </w:p>
    <w:p w:rsidR="00A76863" w:rsidRDefault="00A76863" w:rsidP="00A76863">
      <w:pPr>
        <w:pStyle w:val="ad"/>
        <w:numPr>
          <w:ilvl w:val="0"/>
          <w:numId w:val="6"/>
        </w:numPr>
        <w:spacing w:after="0" w:line="306" w:lineRule="exact"/>
        <w:jc w:val="both"/>
        <w:rPr>
          <w:rFonts w:ascii="David" w:hAnsi="David" w:cs="David"/>
          <w:spacing w:val="6"/>
          <w:sz w:val="24"/>
          <w:szCs w:val="24"/>
        </w:rPr>
      </w:pPr>
      <w:r>
        <w:rPr>
          <w:rFonts w:ascii="David" w:hAnsi="David" w:cs="David"/>
          <w:spacing w:val="6"/>
          <w:sz w:val="24"/>
          <w:szCs w:val="24"/>
          <w:rtl/>
        </w:rPr>
        <w:t xml:space="preserve">האם מדובר </w:t>
      </w:r>
      <w:r>
        <w:rPr>
          <w:rFonts w:ascii="David" w:hAnsi="David" w:cs="David"/>
          <w:b/>
          <w:bCs/>
          <w:spacing w:val="6"/>
          <w:sz w:val="24"/>
          <w:szCs w:val="24"/>
          <w:rtl/>
        </w:rPr>
        <w:t>באישה דתיה</w:t>
      </w:r>
      <w:r>
        <w:rPr>
          <w:rFonts w:ascii="David" w:hAnsi="David" w:cs="David"/>
          <w:spacing w:val="6"/>
          <w:sz w:val="24"/>
          <w:szCs w:val="24"/>
          <w:rtl/>
        </w:rPr>
        <w:t xml:space="preserve"> מסורבת גט (אשר מפאת אמונתה הדתית נמנעת כליל מקשרי זוגיות עם גברים אחרים טרם התגרשה);</w:t>
      </w:r>
    </w:p>
    <w:p w:rsidR="00A76863" w:rsidRDefault="00A76863" w:rsidP="00A76863">
      <w:pPr>
        <w:pStyle w:val="ad"/>
        <w:numPr>
          <w:ilvl w:val="0"/>
          <w:numId w:val="6"/>
        </w:numPr>
        <w:spacing w:after="0" w:line="306" w:lineRule="exact"/>
        <w:jc w:val="both"/>
        <w:rPr>
          <w:rFonts w:ascii="David" w:hAnsi="David" w:cs="David"/>
          <w:spacing w:val="6"/>
          <w:sz w:val="24"/>
          <w:szCs w:val="24"/>
        </w:rPr>
      </w:pPr>
      <w:r>
        <w:rPr>
          <w:rFonts w:ascii="David" w:hAnsi="David" w:cs="David"/>
          <w:spacing w:val="6"/>
          <w:sz w:val="24"/>
          <w:szCs w:val="24"/>
          <w:rtl/>
        </w:rPr>
        <w:t xml:space="preserve">האם הוקנתה למסורב הגט זכות לקבל </w:t>
      </w:r>
      <w:r>
        <w:rPr>
          <w:rFonts w:ascii="David" w:hAnsi="David" w:cs="David"/>
          <w:b/>
          <w:bCs/>
          <w:spacing w:val="6"/>
          <w:sz w:val="24"/>
          <w:szCs w:val="24"/>
          <w:rtl/>
        </w:rPr>
        <w:t>היתר לשאת אישה שניה</w:t>
      </w:r>
      <w:r>
        <w:rPr>
          <w:rFonts w:ascii="David" w:hAnsi="David" w:cs="David"/>
          <w:spacing w:val="6"/>
          <w:sz w:val="24"/>
          <w:szCs w:val="24"/>
          <w:rtl/>
        </w:rPr>
        <w:t xml:space="preserve">; </w:t>
      </w:r>
    </w:p>
    <w:p w:rsidR="00A76863" w:rsidRDefault="00A76863" w:rsidP="00A76863">
      <w:pPr>
        <w:pStyle w:val="ad"/>
        <w:numPr>
          <w:ilvl w:val="0"/>
          <w:numId w:val="6"/>
        </w:numPr>
        <w:spacing w:after="0" w:line="306" w:lineRule="exact"/>
        <w:jc w:val="both"/>
        <w:rPr>
          <w:rFonts w:ascii="David" w:hAnsi="David" w:cs="David"/>
          <w:spacing w:val="6"/>
          <w:sz w:val="24"/>
          <w:szCs w:val="24"/>
        </w:rPr>
      </w:pPr>
      <w:r>
        <w:rPr>
          <w:rFonts w:ascii="David" w:hAnsi="David" w:cs="David"/>
          <w:b/>
          <w:bCs/>
          <w:spacing w:val="6"/>
          <w:sz w:val="24"/>
          <w:szCs w:val="24"/>
          <w:rtl/>
        </w:rPr>
        <w:t xml:space="preserve">הערכת התנהגותו </w:t>
      </w:r>
      <w:r>
        <w:rPr>
          <w:rFonts w:ascii="David" w:hAnsi="David" w:cs="David"/>
          <w:spacing w:val="6"/>
          <w:sz w:val="24"/>
          <w:szCs w:val="24"/>
          <w:rtl/>
        </w:rPr>
        <w:t xml:space="preserve">הבלתי ראויה של בן הזוג סרבן-הגט; </w:t>
      </w:r>
    </w:p>
    <w:p w:rsidR="00A76863" w:rsidRDefault="00A76863" w:rsidP="00A76863">
      <w:pPr>
        <w:pStyle w:val="ad"/>
        <w:numPr>
          <w:ilvl w:val="0"/>
          <w:numId w:val="6"/>
        </w:numPr>
        <w:spacing w:after="0" w:line="306" w:lineRule="exact"/>
        <w:jc w:val="both"/>
        <w:rPr>
          <w:rFonts w:ascii="David" w:hAnsi="David" w:cs="David"/>
          <w:spacing w:val="6"/>
          <w:sz w:val="24"/>
          <w:szCs w:val="24"/>
        </w:rPr>
      </w:pPr>
      <w:r>
        <w:rPr>
          <w:rFonts w:ascii="David" w:hAnsi="David" w:cs="David"/>
          <w:spacing w:val="6"/>
          <w:sz w:val="24"/>
          <w:szCs w:val="24"/>
          <w:rtl/>
        </w:rPr>
        <w:t xml:space="preserve">האם במועד פסק הדין </w:t>
      </w:r>
      <w:r>
        <w:rPr>
          <w:rFonts w:ascii="David" w:hAnsi="David" w:cs="David"/>
          <w:b/>
          <w:bCs/>
          <w:spacing w:val="6"/>
          <w:sz w:val="24"/>
          <w:szCs w:val="24"/>
          <w:rtl/>
        </w:rPr>
        <w:t>נותר העיגון בעינו</w:t>
      </w:r>
      <w:r>
        <w:rPr>
          <w:rFonts w:ascii="David" w:hAnsi="David" w:cs="David"/>
          <w:spacing w:val="6"/>
          <w:sz w:val="24"/>
          <w:szCs w:val="24"/>
          <w:rtl/>
        </w:rPr>
        <w:t xml:space="preserve"> או שבינתיים </w:t>
      </w:r>
      <w:r>
        <w:rPr>
          <w:rFonts w:ascii="David" w:hAnsi="David" w:cs="David"/>
          <w:b/>
          <w:bCs/>
          <w:spacing w:val="6"/>
          <w:sz w:val="24"/>
          <w:szCs w:val="24"/>
          <w:rtl/>
        </w:rPr>
        <w:t>הותרו קשרי הנישואין</w:t>
      </w:r>
      <w:r>
        <w:rPr>
          <w:rFonts w:ascii="David" w:hAnsi="David" w:cs="David"/>
          <w:spacing w:val="6"/>
          <w:sz w:val="24"/>
          <w:szCs w:val="24"/>
          <w:rtl/>
        </w:rPr>
        <w:t xml:space="preserve"> בין הצדדים;</w:t>
      </w:r>
    </w:p>
    <w:p w:rsidR="00A76863" w:rsidRDefault="00A76863" w:rsidP="00A76863">
      <w:pPr>
        <w:pStyle w:val="ad"/>
        <w:numPr>
          <w:ilvl w:val="0"/>
          <w:numId w:val="6"/>
        </w:numPr>
        <w:spacing w:after="0" w:line="306" w:lineRule="exact"/>
        <w:jc w:val="both"/>
        <w:rPr>
          <w:rFonts w:ascii="David" w:hAnsi="David" w:cs="David"/>
          <w:spacing w:val="6"/>
          <w:sz w:val="24"/>
          <w:szCs w:val="24"/>
        </w:rPr>
      </w:pPr>
      <w:r>
        <w:rPr>
          <w:rFonts w:ascii="David" w:hAnsi="David" w:cs="David"/>
          <w:spacing w:val="6"/>
          <w:sz w:val="24"/>
          <w:szCs w:val="24"/>
          <w:rtl/>
        </w:rPr>
        <w:t xml:space="preserve">האם יש השלכות על </w:t>
      </w:r>
      <w:r>
        <w:rPr>
          <w:rFonts w:ascii="David" w:hAnsi="David" w:cs="David"/>
          <w:b/>
          <w:bCs/>
          <w:spacing w:val="6"/>
          <w:sz w:val="24"/>
          <w:szCs w:val="24"/>
          <w:rtl/>
        </w:rPr>
        <w:t>זכויותיו הקנייניות והכספיות</w:t>
      </w:r>
      <w:r>
        <w:rPr>
          <w:rFonts w:ascii="David" w:hAnsi="David" w:cs="David"/>
          <w:spacing w:val="6"/>
          <w:sz w:val="24"/>
          <w:szCs w:val="24"/>
          <w:rtl/>
        </w:rPr>
        <w:t xml:space="preserve"> של מסורב הגט;</w:t>
      </w:r>
    </w:p>
    <w:p w:rsidR="00A76863" w:rsidRDefault="00A76863" w:rsidP="00A76863">
      <w:pPr>
        <w:spacing w:line="306" w:lineRule="exact"/>
        <w:ind w:left="509"/>
        <w:jc w:val="both"/>
        <w:rPr>
          <w:rFonts w:ascii="David" w:hAnsi="David"/>
          <w:spacing w:val="6"/>
        </w:rPr>
      </w:pPr>
    </w:p>
    <w:p w:rsidR="00A76863" w:rsidRDefault="00A76863" w:rsidP="00A76863">
      <w:pPr>
        <w:spacing w:line="306" w:lineRule="exact"/>
        <w:ind w:left="509"/>
        <w:jc w:val="both"/>
        <w:rPr>
          <w:rFonts w:ascii="Miriam" w:hAnsi="Miriam" w:cs="Miriam"/>
          <w:spacing w:val="6"/>
          <w:rtl/>
        </w:rPr>
      </w:pPr>
      <w:r>
        <w:rPr>
          <w:rFonts w:ascii="David" w:hAnsi="David"/>
          <w:spacing w:val="6"/>
          <w:rtl/>
        </w:rPr>
        <w:t>למען הסר ספק יודגש, כי "</w:t>
      </w:r>
      <w:r>
        <w:rPr>
          <w:rFonts w:ascii="Miriam" w:hAnsi="Miriam" w:cs="Miriam"/>
          <w:spacing w:val="6"/>
          <w:rtl/>
        </w:rPr>
        <w:t>אין מדובר ב"תג מחיר" והפיצויים שנפסקים כל מקרה ומקרה תלויים בנסיבותיו הקונקרטיות הנבחנות לעומקן...</w:t>
      </w:r>
      <w:r>
        <w:rPr>
          <w:rFonts w:ascii="David" w:hAnsi="David"/>
          <w:spacing w:val="6"/>
          <w:rtl/>
        </w:rPr>
        <w:t>" [</w:t>
      </w:r>
      <w:r>
        <w:rPr>
          <w:rFonts w:ascii="Miriam" w:hAnsi="Miriam" w:cs="Miriam"/>
          <w:spacing w:val="6"/>
          <w:rtl/>
        </w:rPr>
        <w:t>תמ"ש (י-ם) 39371-09-12 ש.ב.ע. נ' צ.ב.ע. (10.12.2013)</w:t>
      </w:r>
      <w:r>
        <w:rPr>
          <w:rFonts w:ascii="David" w:hAnsi="David"/>
          <w:spacing w:val="6"/>
          <w:rtl/>
        </w:rPr>
        <w:t>]</w:t>
      </w:r>
      <w:r>
        <w:rPr>
          <w:rFonts w:ascii="Miriam" w:hAnsi="Miriam" w:cs="Miriam"/>
          <w:spacing w:val="6"/>
          <w:rtl/>
        </w:rPr>
        <w:t xml:space="preserve">; </w:t>
      </w:r>
      <w:r>
        <w:rPr>
          <w:rFonts w:ascii="David" w:hAnsi="David"/>
          <w:spacing w:val="6"/>
          <w:rtl/>
        </w:rPr>
        <w:t>קיימים</w:t>
      </w:r>
      <w:r>
        <w:rPr>
          <w:rFonts w:ascii="Miriam" w:hAnsi="Miriam" w:cs="Miriam"/>
          <w:spacing w:val="6"/>
          <w:rtl/>
        </w:rPr>
        <w:t xml:space="preserve"> </w:t>
      </w:r>
      <w:r>
        <w:rPr>
          <w:rFonts w:ascii="David" w:hAnsi="David"/>
          <w:spacing w:val="6"/>
          <w:rtl/>
        </w:rPr>
        <w:t>שיקולים נוספים הקשורים לנסיבות העניין הספציפי העומד בפני בית המשפט ולהשלכות המיוחדות שהיו לכך על בן הזוג הנפגע [</w:t>
      </w:r>
      <w:r>
        <w:rPr>
          <w:rFonts w:ascii="Miriam" w:hAnsi="Miriam" w:cs="Miriam"/>
          <w:spacing w:val="6"/>
          <w:rtl/>
        </w:rPr>
        <w:t>תמ"ש (י-ם) 22970-11-11 ע. ש. נ' מ. ש (17.4.2013)</w:t>
      </w:r>
      <w:r>
        <w:rPr>
          <w:rFonts w:ascii="David" w:hAnsi="David"/>
          <w:spacing w:val="6"/>
          <w:rtl/>
        </w:rPr>
        <w:t>].</w:t>
      </w: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lastRenderedPageBreak/>
        <w:t>מסקירת הפסיקה עולה, כי נפסקו על ידי בתי המשפט סכומים שונים כפיצוי בגין פגיעה הנגרמת בשל סרבנות גט, בשיעורים מגוונים, לפי נסיבות המקרים הספציפיים שעמדו בפניהם; ואלה מקצת הפיצויים שנפסקו ביחס לעיגון אישה:</w:t>
      </w:r>
    </w:p>
    <w:p w:rsidR="00A76863" w:rsidRDefault="00A76863" w:rsidP="00A76863">
      <w:pPr>
        <w:spacing w:line="306" w:lineRule="exact"/>
        <w:jc w:val="both"/>
        <w:rPr>
          <w:rFonts w:ascii="David" w:hAnsi="David"/>
          <w:spacing w:val="6"/>
        </w:rPr>
      </w:pPr>
    </w:p>
    <w:p w:rsidR="00A76863" w:rsidRDefault="00A76863" w:rsidP="00A76863">
      <w:pPr>
        <w:pStyle w:val="ad"/>
        <w:numPr>
          <w:ilvl w:val="0"/>
          <w:numId w:val="7"/>
        </w:numPr>
        <w:spacing w:after="0" w:line="306" w:lineRule="exact"/>
        <w:jc w:val="both"/>
        <w:rPr>
          <w:rFonts w:ascii="David" w:hAnsi="David" w:cs="David"/>
          <w:spacing w:val="6"/>
          <w:sz w:val="24"/>
          <w:szCs w:val="24"/>
          <w:rtl/>
        </w:rPr>
      </w:pPr>
      <w:r>
        <w:rPr>
          <w:rFonts w:ascii="Miriam" w:hAnsi="Miriam" w:cs="Miriam"/>
          <w:spacing w:val="6"/>
          <w:sz w:val="24"/>
          <w:szCs w:val="24"/>
          <w:rtl/>
        </w:rPr>
        <w:t>תמ"ש (י-ם) 19270/03 כ.ש נ' כ.פ (21.12.2004)</w:t>
      </w:r>
      <w:r>
        <w:rPr>
          <w:rFonts w:ascii="David" w:hAnsi="David" w:cs="David"/>
          <w:spacing w:val="6"/>
          <w:sz w:val="24"/>
          <w:szCs w:val="24"/>
          <w:rtl/>
        </w:rPr>
        <w:t xml:space="preserve"> – בית המשפט (</w:t>
      </w:r>
      <w:r>
        <w:rPr>
          <w:rFonts w:ascii="Miriam" w:hAnsi="Miriam" w:cs="Miriam"/>
          <w:spacing w:val="6"/>
          <w:sz w:val="24"/>
          <w:szCs w:val="24"/>
          <w:rtl/>
        </w:rPr>
        <w:t>כב' השופט מנחם הכהן</w:t>
      </w:r>
      <w:r>
        <w:rPr>
          <w:rFonts w:ascii="David" w:hAnsi="David" w:cs="David"/>
          <w:spacing w:val="6"/>
          <w:sz w:val="24"/>
          <w:szCs w:val="24"/>
          <w:rtl/>
        </w:rPr>
        <w:t>) פסק לסרבן גט סך של 200,000 ₪ לכל שנת עגינות (קרי- סך של כ</w:t>
      </w:r>
      <w:r>
        <w:rPr>
          <w:rFonts w:ascii="David" w:hAnsi="David" w:cs="David"/>
          <w:b/>
          <w:bCs/>
          <w:spacing w:val="6"/>
          <w:sz w:val="24"/>
          <w:szCs w:val="24"/>
          <w:rtl/>
        </w:rPr>
        <w:t>-16,600 לחודש</w:t>
      </w:r>
      <w:r>
        <w:rPr>
          <w:rFonts w:ascii="David" w:hAnsi="David" w:cs="David"/>
          <w:spacing w:val="6"/>
          <w:sz w:val="24"/>
          <w:szCs w:val="24"/>
          <w:rtl/>
        </w:rPr>
        <w:t>) ובנוסף 100,000 פיצויים מוגברים;</w:t>
      </w:r>
    </w:p>
    <w:p w:rsidR="00A76863" w:rsidRDefault="00A76863" w:rsidP="00A76863">
      <w:pPr>
        <w:pStyle w:val="ad"/>
        <w:spacing w:after="0" w:line="306" w:lineRule="exact"/>
        <w:ind w:left="869"/>
        <w:jc w:val="both"/>
        <w:rPr>
          <w:rFonts w:ascii="David" w:hAnsi="David" w:cs="David"/>
          <w:spacing w:val="6"/>
          <w:sz w:val="24"/>
          <w:szCs w:val="24"/>
        </w:rPr>
      </w:pPr>
    </w:p>
    <w:p w:rsidR="00A76863" w:rsidRDefault="00A76863" w:rsidP="00A76863">
      <w:pPr>
        <w:pStyle w:val="ad"/>
        <w:numPr>
          <w:ilvl w:val="0"/>
          <w:numId w:val="7"/>
        </w:numPr>
        <w:spacing w:after="0" w:line="306" w:lineRule="exact"/>
        <w:jc w:val="both"/>
        <w:rPr>
          <w:rFonts w:ascii="David" w:hAnsi="David" w:cs="David"/>
          <w:spacing w:val="6"/>
          <w:sz w:val="24"/>
          <w:szCs w:val="24"/>
        </w:rPr>
      </w:pPr>
      <w:r>
        <w:rPr>
          <w:rFonts w:ascii="Miriam" w:hAnsi="Miriam" w:cs="Miriam"/>
          <w:spacing w:val="6"/>
          <w:sz w:val="24"/>
          <w:szCs w:val="24"/>
          <w:rtl/>
        </w:rPr>
        <w:t>תמ"ש (כ"ס) 19480/05 פלוני נ' עיזבון המנוח פלוני ז"ל (30.4.2006)</w:t>
      </w:r>
      <w:r>
        <w:rPr>
          <w:rFonts w:ascii="David" w:hAnsi="David" w:cs="David"/>
          <w:spacing w:val="6"/>
          <w:sz w:val="24"/>
          <w:szCs w:val="24"/>
          <w:rtl/>
        </w:rPr>
        <w:t xml:space="preserve"> – בית המשפט (</w:t>
      </w:r>
      <w:r>
        <w:rPr>
          <w:rFonts w:ascii="Miriam" w:hAnsi="Miriam" w:cs="Miriam"/>
          <w:spacing w:val="6"/>
          <w:sz w:val="24"/>
          <w:szCs w:val="24"/>
          <w:rtl/>
        </w:rPr>
        <w:t>כב' השופט ויצמן</w:t>
      </w:r>
      <w:r>
        <w:rPr>
          <w:rFonts w:ascii="David" w:hAnsi="David" w:cs="David"/>
          <w:spacing w:val="6"/>
          <w:sz w:val="24"/>
          <w:szCs w:val="24"/>
          <w:rtl/>
        </w:rPr>
        <w:t xml:space="preserve">) פסק </w:t>
      </w:r>
      <w:r>
        <w:rPr>
          <w:rFonts w:ascii="David" w:hAnsi="David" w:cs="David"/>
          <w:b/>
          <w:bCs/>
          <w:spacing w:val="6"/>
          <w:sz w:val="24"/>
          <w:szCs w:val="24"/>
          <w:rtl/>
        </w:rPr>
        <w:t>סך של 3,000 ₪ לחודש</w:t>
      </w:r>
      <w:r>
        <w:rPr>
          <w:rFonts w:ascii="David" w:hAnsi="David" w:cs="David"/>
          <w:spacing w:val="6"/>
          <w:sz w:val="24"/>
          <w:szCs w:val="24"/>
          <w:rtl/>
        </w:rPr>
        <w:t>;</w:t>
      </w:r>
    </w:p>
    <w:p w:rsidR="00A76863" w:rsidRDefault="00A76863" w:rsidP="00A76863">
      <w:pPr>
        <w:pStyle w:val="ad"/>
        <w:spacing w:after="0" w:line="306" w:lineRule="exact"/>
        <w:ind w:left="869"/>
        <w:jc w:val="both"/>
        <w:rPr>
          <w:rFonts w:ascii="David" w:hAnsi="David" w:cs="David"/>
          <w:spacing w:val="6"/>
          <w:sz w:val="24"/>
          <w:szCs w:val="24"/>
        </w:rPr>
      </w:pPr>
    </w:p>
    <w:p w:rsidR="00A76863" w:rsidRDefault="00A76863" w:rsidP="00A76863">
      <w:pPr>
        <w:pStyle w:val="ad"/>
        <w:numPr>
          <w:ilvl w:val="0"/>
          <w:numId w:val="7"/>
        </w:numPr>
        <w:spacing w:after="0" w:line="306" w:lineRule="exact"/>
        <w:jc w:val="both"/>
        <w:rPr>
          <w:rFonts w:ascii="David" w:hAnsi="David" w:cs="David"/>
          <w:spacing w:val="6"/>
          <w:sz w:val="24"/>
          <w:szCs w:val="24"/>
        </w:rPr>
      </w:pPr>
      <w:r>
        <w:rPr>
          <w:rFonts w:ascii="Miriam" w:hAnsi="Miriam" w:cs="Miriam"/>
          <w:spacing w:val="6"/>
          <w:sz w:val="24"/>
          <w:szCs w:val="24"/>
          <w:rtl/>
        </w:rPr>
        <w:t xml:space="preserve">תמ"ש (י-ם) 6743/02 כ' נ' כ' (21.7.2008) </w:t>
      </w:r>
      <w:r>
        <w:rPr>
          <w:rFonts w:ascii="David" w:hAnsi="David" w:cs="David"/>
          <w:spacing w:val="6"/>
          <w:sz w:val="24"/>
          <w:szCs w:val="24"/>
          <w:rtl/>
        </w:rPr>
        <w:t>– בית המשפט (</w:t>
      </w:r>
      <w:r>
        <w:rPr>
          <w:rFonts w:ascii="Miriam" w:hAnsi="Miriam" w:cs="Miriam"/>
          <w:spacing w:val="6"/>
          <w:sz w:val="24"/>
          <w:szCs w:val="24"/>
          <w:rtl/>
        </w:rPr>
        <w:t>כב' השופט גרינברג</w:t>
      </w:r>
      <w:r w:rsidR="00BC47AF" w:rsidRPr="00BC47AF">
        <w:rPr>
          <w:rFonts w:ascii="Miriam" w:hAnsi="Miriam" w:cs="Miriam"/>
          <w:spacing w:val="6"/>
          <w:sz w:val="24"/>
          <w:szCs w:val="24"/>
          <w:rtl/>
        </w:rPr>
        <w:t>ר</w:t>
      </w:r>
      <w:r>
        <w:rPr>
          <w:rFonts w:ascii="David" w:hAnsi="David" w:cs="David"/>
          <w:spacing w:val="6"/>
          <w:sz w:val="24"/>
          <w:szCs w:val="24"/>
          <w:rtl/>
        </w:rPr>
        <w:t>) פסק פיצוי למסורבת גט משך 8 שנים סך של 450,000 ₪, כ-56,000 ₪ לשנה (קרי- סך של כ-</w:t>
      </w:r>
      <w:r>
        <w:rPr>
          <w:rFonts w:ascii="David" w:hAnsi="David" w:cs="David"/>
          <w:b/>
          <w:bCs/>
          <w:spacing w:val="6"/>
          <w:sz w:val="24"/>
          <w:szCs w:val="24"/>
          <w:rtl/>
        </w:rPr>
        <w:t>4,650 ₪ לחודש</w:t>
      </w:r>
      <w:r>
        <w:rPr>
          <w:rFonts w:ascii="David" w:hAnsi="David" w:cs="David"/>
          <w:spacing w:val="6"/>
          <w:sz w:val="24"/>
          <w:szCs w:val="24"/>
          <w:rtl/>
        </w:rPr>
        <w:t>), ובנוסף 100,000 ₪ פיצויים מוגברים;</w:t>
      </w:r>
    </w:p>
    <w:p w:rsidR="00A76863" w:rsidRDefault="00A76863" w:rsidP="00A76863">
      <w:pPr>
        <w:pStyle w:val="ad"/>
        <w:spacing w:after="0" w:line="306" w:lineRule="exact"/>
        <w:ind w:left="869"/>
        <w:jc w:val="both"/>
        <w:rPr>
          <w:rFonts w:ascii="David" w:hAnsi="David" w:cs="David"/>
          <w:spacing w:val="6"/>
          <w:sz w:val="24"/>
          <w:szCs w:val="24"/>
        </w:rPr>
      </w:pPr>
    </w:p>
    <w:p w:rsidR="00A76863" w:rsidRDefault="00A76863" w:rsidP="00BC47AF">
      <w:pPr>
        <w:pStyle w:val="ad"/>
        <w:numPr>
          <w:ilvl w:val="0"/>
          <w:numId w:val="7"/>
        </w:numPr>
        <w:spacing w:after="0" w:line="306" w:lineRule="exact"/>
        <w:jc w:val="both"/>
        <w:rPr>
          <w:rFonts w:ascii="David" w:hAnsi="David" w:cs="David"/>
          <w:spacing w:val="6"/>
          <w:sz w:val="24"/>
          <w:szCs w:val="24"/>
        </w:rPr>
      </w:pPr>
      <w:r>
        <w:rPr>
          <w:rFonts w:ascii="Miriam" w:hAnsi="Miriam" w:cs="Miriam"/>
          <w:spacing w:val="6"/>
          <w:sz w:val="24"/>
          <w:szCs w:val="24"/>
          <w:rtl/>
        </w:rPr>
        <w:t>תמ"ש (רשל"צ) 30560/07 ה. נ' ה.א (2.12.2008)</w:t>
      </w:r>
      <w:r>
        <w:rPr>
          <w:rFonts w:ascii="David" w:hAnsi="David" w:cs="David"/>
          <w:spacing w:val="6"/>
          <w:sz w:val="24"/>
          <w:szCs w:val="24"/>
          <w:rtl/>
        </w:rPr>
        <w:t xml:space="preserve"> – בית המשפט (כב' השופטת חנה קיציס) </w:t>
      </w:r>
      <w:r w:rsidR="00BC47AF">
        <w:rPr>
          <w:rFonts w:ascii="David" w:hAnsi="David" w:cs="David" w:hint="cs"/>
          <w:spacing w:val="6"/>
          <w:sz w:val="24"/>
          <w:szCs w:val="24"/>
          <w:rtl/>
        </w:rPr>
        <w:t xml:space="preserve">פסק פיצוי למסורבת גט </w:t>
      </w:r>
      <w:r>
        <w:rPr>
          <w:rFonts w:ascii="David" w:hAnsi="David" w:cs="David"/>
          <w:spacing w:val="6"/>
          <w:sz w:val="24"/>
          <w:szCs w:val="24"/>
          <w:rtl/>
        </w:rPr>
        <w:t xml:space="preserve">בשל הנזקים </w:t>
      </w:r>
      <w:r w:rsidR="00BC47AF">
        <w:rPr>
          <w:rFonts w:ascii="David" w:hAnsi="David" w:cs="David" w:hint="cs"/>
          <w:spacing w:val="6"/>
          <w:sz w:val="24"/>
          <w:szCs w:val="24"/>
          <w:rtl/>
        </w:rPr>
        <w:t>ש</w:t>
      </w:r>
      <w:r>
        <w:rPr>
          <w:rFonts w:ascii="David" w:hAnsi="David" w:cs="David"/>
          <w:spacing w:val="6"/>
          <w:sz w:val="24"/>
          <w:szCs w:val="24"/>
          <w:rtl/>
        </w:rPr>
        <w:t xml:space="preserve">נגרמו לה סך של </w:t>
      </w:r>
      <w:r>
        <w:rPr>
          <w:rFonts w:ascii="David" w:hAnsi="David" w:cs="David"/>
          <w:b/>
          <w:bCs/>
          <w:spacing w:val="6"/>
          <w:sz w:val="24"/>
          <w:szCs w:val="24"/>
          <w:rtl/>
        </w:rPr>
        <w:t>3,300 ₪ לחודש</w:t>
      </w:r>
      <w:r w:rsidR="00BC47AF">
        <w:rPr>
          <w:rFonts w:ascii="David" w:hAnsi="David" w:cs="David" w:hint="cs"/>
          <w:b/>
          <w:bCs/>
          <w:spacing w:val="6"/>
          <w:sz w:val="24"/>
          <w:szCs w:val="24"/>
          <w:rtl/>
        </w:rPr>
        <w:t>,</w:t>
      </w:r>
      <w:r>
        <w:rPr>
          <w:rFonts w:ascii="David" w:hAnsi="David" w:cs="David"/>
          <w:b/>
          <w:bCs/>
          <w:spacing w:val="6"/>
          <w:sz w:val="24"/>
          <w:szCs w:val="24"/>
          <w:rtl/>
        </w:rPr>
        <w:t xml:space="preserve"> </w:t>
      </w:r>
      <w:r>
        <w:rPr>
          <w:rFonts w:ascii="David" w:hAnsi="David" w:cs="David"/>
          <w:spacing w:val="6"/>
          <w:sz w:val="24"/>
          <w:szCs w:val="24"/>
          <w:rtl/>
        </w:rPr>
        <w:t>ובנוסף פיצויים מוגברים בסך של 100,000 ₪.</w:t>
      </w:r>
    </w:p>
    <w:p w:rsidR="00A76863" w:rsidRDefault="00A76863" w:rsidP="00A76863">
      <w:pPr>
        <w:pStyle w:val="ad"/>
        <w:spacing w:after="0" w:line="306" w:lineRule="exact"/>
        <w:ind w:left="869"/>
        <w:jc w:val="both"/>
        <w:rPr>
          <w:rFonts w:ascii="David" w:hAnsi="David" w:cs="David"/>
          <w:spacing w:val="6"/>
          <w:sz w:val="24"/>
          <w:szCs w:val="24"/>
        </w:rPr>
      </w:pPr>
    </w:p>
    <w:p w:rsidR="00A76863" w:rsidRDefault="00A76863" w:rsidP="00BC47AF">
      <w:pPr>
        <w:pStyle w:val="ad"/>
        <w:numPr>
          <w:ilvl w:val="0"/>
          <w:numId w:val="7"/>
        </w:numPr>
        <w:spacing w:after="0" w:line="306" w:lineRule="exact"/>
        <w:jc w:val="both"/>
        <w:rPr>
          <w:rFonts w:ascii="David" w:hAnsi="David" w:cs="David"/>
          <w:spacing w:val="6"/>
          <w:sz w:val="24"/>
          <w:szCs w:val="24"/>
        </w:rPr>
      </w:pPr>
      <w:r>
        <w:rPr>
          <w:rFonts w:ascii="Miriam" w:hAnsi="Miriam" w:cs="Miriam"/>
          <w:spacing w:val="6"/>
          <w:sz w:val="24"/>
          <w:szCs w:val="24"/>
          <w:rtl/>
        </w:rPr>
        <w:t>תמ"ש (ת"א) 24782/98 נ.ש נ' נ.י (14.12.2008)</w:t>
      </w:r>
      <w:r>
        <w:rPr>
          <w:rFonts w:ascii="David" w:hAnsi="David" w:cs="David"/>
          <w:spacing w:val="6"/>
          <w:sz w:val="24"/>
          <w:szCs w:val="24"/>
          <w:rtl/>
        </w:rPr>
        <w:t xml:space="preserve"> – בית המשפט (</w:t>
      </w:r>
      <w:r>
        <w:rPr>
          <w:rFonts w:ascii="Miriam" w:hAnsi="Miriam" w:cs="Miriam"/>
          <w:spacing w:val="6"/>
          <w:sz w:val="24"/>
          <w:szCs w:val="24"/>
          <w:rtl/>
        </w:rPr>
        <w:t>כב' השופט</w:t>
      </w:r>
      <w:r w:rsidR="00BC47AF">
        <w:rPr>
          <w:rFonts w:ascii="Miriam" w:hAnsi="Miriam" w:cs="Miriam" w:hint="cs"/>
          <w:spacing w:val="6"/>
          <w:sz w:val="24"/>
          <w:szCs w:val="24"/>
          <w:rtl/>
        </w:rPr>
        <w:t>ת</w:t>
      </w:r>
      <w:r>
        <w:rPr>
          <w:rFonts w:ascii="Miriam" w:hAnsi="Miriam" w:cs="Miriam"/>
          <w:spacing w:val="6"/>
          <w:sz w:val="24"/>
          <w:szCs w:val="24"/>
          <w:rtl/>
        </w:rPr>
        <w:t xml:space="preserve"> סיון</w:t>
      </w:r>
      <w:r w:rsidR="00BC47AF">
        <w:rPr>
          <w:rFonts w:ascii="Miriam" w:hAnsi="Miriam" w:cs="Miriam" w:hint="cs"/>
          <w:spacing w:val="6"/>
          <w:sz w:val="24"/>
          <w:szCs w:val="24"/>
          <w:rtl/>
        </w:rPr>
        <w:t xml:space="preserve"> ז"ל</w:t>
      </w:r>
      <w:r>
        <w:rPr>
          <w:rFonts w:ascii="David" w:hAnsi="David" w:cs="David"/>
          <w:spacing w:val="6"/>
          <w:sz w:val="24"/>
          <w:szCs w:val="24"/>
          <w:rtl/>
        </w:rPr>
        <w:t>) חייב סרבן גט לשלם לאשה סכום של 60,000 ₪ לשנה (קרי- סך של</w:t>
      </w:r>
      <w:r>
        <w:rPr>
          <w:rFonts w:ascii="David" w:hAnsi="David" w:cs="David"/>
          <w:b/>
          <w:bCs/>
          <w:spacing w:val="6"/>
          <w:sz w:val="24"/>
          <w:szCs w:val="24"/>
          <w:rtl/>
        </w:rPr>
        <w:t xml:space="preserve"> 5,000 ₪ לחודש</w:t>
      </w:r>
      <w:r>
        <w:rPr>
          <w:rFonts w:ascii="David" w:hAnsi="David" w:cs="David"/>
          <w:spacing w:val="6"/>
          <w:sz w:val="24"/>
          <w:szCs w:val="24"/>
          <w:rtl/>
        </w:rPr>
        <w:t>)</w:t>
      </w:r>
      <w:r w:rsidR="00BC47AF">
        <w:rPr>
          <w:rFonts w:ascii="David" w:hAnsi="David" w:cs="David" w:hint="cs"/>
          <w:b/>
          <w:bCs/>
          <w:spacing w:val="6"/>
          <w:sz w:val="24"/>
          <w:szCs w:val="24"/>
          <w:rtl/>
        </w:rPr>
        <w:t>,</w:t>
      </w:r>
      <w:r>
        <w:rPr>
          <w:rFonts w:ascii="David" w:hAnsi="David" w:cs="David"/>
          <w:b/>
          <w:bCs/>
          <w:spacing w:val="6"/>
          <w:sz w:val="24"/>
          <w:szCs w:val="24"/>
          <w:rtl/>
        </w:rPr>
        <w:t xml:space="preserve"> </w:t>
      </w:r>
      <w:r>
        <w:rPr>
          <w:rFonts w:ascii="David" w:hAnsi="David" w:cs="David"/>
          <w:spacing w:val="6"/>
          <w:sz w:val="24"/>
          <w:szCs w:val="24"/>
          <w:rtl/>
        </w:rPr>
        <w:t>ובנוסף פיצויים מוגברים בסך של 100,000 ₪;</w:t>
      </w:r>
    </w:p>
    <w:p w:rsidR="00A76863" w:rsidRPr="00BC47AF" w:rsidRDefault="00A76863" w:rsidP="00A76863">
      <w:pPr>
        <w:pStyle w:val="ad"/>
        <w:spacing w:after="0" w:line="306" w:lineRule="exact"/>
        <w:rPr>
          <w:rFonts w:ascii="David" w:hAnsi="David" w:cs="David"/>
          <w:spacing w:val="6"/>
          <w:sz w:val="24"/>
          <w:szCs w:val="24"/>
        </w:rPr>
      </w:pPr>
    </w:p>
    <w:p w:rsidR="00A76863" w:rsidRDefault="00A76863" w:rsidP="00BC47AF">
      <w:pPr>
        <w:pStyle w:val="ad"/>
        <w:numPr>
          <w:ilvl w:val="0"/>
          <w:numId w:val="7"/>
        </w:numPr>
        <w:spacing w:after="0" w:line="306" w:lineRule="exact"/>
        <w:jc w:val="both"/>
        <w:rPr>
          <w:rFonts w:ascii="David" w:hAnsi="David" w:cs="David"/>
          <w:spacing w:val="6"/>
          <w:sz w:val="24"/>
          <w:szCs w:val="24"/>
          <w:rtl/>
        </w:rPr>
      </w:pPr>
      <w:r>
        <w:rPr>
          <w:rFonts w:ascii="Miriam" w:hAnsi="Miriam" w:cs="Miriam"/>
          <w:spacing w:val="6"/>
          <w:sz w:val="24"/>
          <w:szCs w:val="24"/>
          <w:rtl/>
        </w:rPr>
        <w:t>תמ"ש (רשל"צ) 9877/02 פ.ע נ' פ.י (17.8.2011)</w:t>
      </w:r>
      <w:r>
        <w:rPr>
          <w:rFonts w:ascii="David" w:hAnsi="David" w:cs="David"/>
          <w:spacing w:val="6"/>
          <w:sz w:val="24"/>
          <w:szCs w:val="24"/>
          <w:rtl/>
        </w:rPr>
        <w:t xml:space="preserve"> – בית המשפט (</w:t>
      </w:r>
      <w:r>
        <w:rPr>
          <w:rFonts w:ascii="Miriam" w:hAnsi="Miriam" w:cs="Miriam"/>
          <w:spacing w:val="6"/>
          <w:sz w:val="24"/>
          <w:szCs w:val="24"/>
          <w:rtl/>
        </w:rPr>
        <w:t>כב' השופטת שטיין</w:t>
      </w:r>
      <w:r>
        <w:rPr>
          <w:rFonts w:ascii="David" w:hAnsi="David" w:cs="David"/>
          <w:spacing w:val="6"/>
          <w:sz w:val="24"/>
          <w:szCs w:val="24"/>
          <w:rtl/>
        </w:rPr>
        <w:t xml:space="preserve">) פסק למסורבת </w:t>
      </w:r>
      <w:r w:rsidR="00BC47AF">
        <w:rPr>
          <w:rFonts w:ascii="David" w:hAnsi="David" w:cs="David" w:hint="cs"/>
          <w:spacing w:val="6"/>
          <w:sz w:val="24"/>
          <w:szCs w:val="24"/>
          <w:rtl/>
        </w:rPr>
        <w:t xml:space="preserve">גט </w:t>
      </w:r>
      <w:r>
        <w:rPr>
          <w:rFonts w:ascii="David" w:hAnsi="David" w:cs="David"/>
          <w:spacing w:val="6"/>
          <w:sz w:val="24"/>
          <w:szCs w:val="24"/>
          <w:rtl/>
        </w:rPr>
        <w:t xml:space="preserve">פיצוי בסך של 630,000 ₪, על פי הבסיס של 200,000 ₪ לשנה (קרי- סך של כ- </w:t>
      </w:r>
      <w:r>
        <w:rPr>
          <w:rFonts w:ascii="David" w:hAnsi="David" w:cs="David"/>
          <w:b/>
          <w:bCs/>
          <w:spacing w:val="6"/>
          <w:sz w:val="24"/>
          <w:szCs w:val="24"/>
          <w:rtl/>
        </w:rPr>
        <w:t>16,600 ₪ לחודש</w:t>
      </w:r>
      <w:r>
        <w:rPr>
          <w:rFonts w:ascii="David" w:hAnsi="David" w:cs="David"/>
          <w:spacing w:val="6"/>
          <w:sz w:val="24"/>
          <w:szCs w:val="24"/>
          <w:rtl/>
        </w:rPr>
        <w:t>);</w:t>
      </w:r>
    </w:p>
    <w:p w:rsidR="00A76863" w:rsidRDefault="00A76863" w:rsidP="00A76863">
      <w:pPr>
        <w:pStyle w:val="ad"/>
        <w:spacing w:after="0" w:line="306" w:lineRule="exact"/>
        <w:rPr>
          <w:rFonts w:ascii="David" w:hAnsi="David" w:cs="David"/>
          <w:spacing w:val="6"/>
          <w:sz w:val="24"/>
          <w:szCs w:val="24"/>
        </w:rPr>
      </w:pPr>
    </w:p>
    <w:p w:rsidR="00A76863" w:rsidRDefault="00A76863" w:rsidP="00BC47AF">
      <w:pPr>
        <w:pStyle w:val="ad"/>
        <w:numPr>
          <w:ilvl w:val="0"/>
          <w:numId w:val="7"/>
        </w:numPr>
        <w:spacing w:after="0" w:line="306" w:lineRule="exact"/>
        <w:jc w:val="both"/>
        <w:rPr>
          <w:rFonts w:ascii="David" w:hAnsi="David" w:cs="David"/>
          <w:spacing w:val="6"/>
          <w:sz w:val="24"/>
          <w:szCs w:val="24"/>
          <w:rtl/>
        </w:rPr>
      </w:pPr>
      <w:r>
        <w:rPr>
          <w:rFonts w:ascii="Miriam" w:hAnsi="Miriam" w:cs="Miriam"/>
          <w:spacing w:val="6"/>
          <w:sz w:val="24"/>
          <w:szCs w:val="24"/>
          <w:rtl/>
        </w:rPr>
        <w:t>תמ"ש (י-ם) 44248-05-10 כ.ש. נ' כ.ש. (5.9.2011)</w:t>
      </w:r>
      <w:r>
        <w:rPr>
          <w:rFonts w:ascii="David" w:hAnsi="David" w:cs="David"/>
          <w:spacing w:val="6"/>
          <w:sz w:val="24"/>
          <w:szCs w:val="24"/>
          <w:rtl/>
        </w:rPr>
        <w:t xml:space="preserve"> – חייב בית המשפט (</w:t>
      </w:r>
      <w:r>
        <w:rPr>
          <w:rFonts w:ascii="Miriam" w:hAnsi="Miriam" w:cs="Miriam"/>
          <w:spacing w:val="6"/>
          <w:sz w:val="24"/>
          <w:szCs w:val="24"/>
          <w:rtl/>
        </w:rPr>
        <w:t>כב' השופט נמרוד פלקס</w:t>
      </w:r>
      <w:r>
        <w:rPr>
          <w:rFonts w:ascii="David" w:hAnsi="David" w:cs="David"/>
          <w:spacing w:val="6"/>
          <w:sz w:val="24"/>
          <w:szCs w:val="24"/>
          <w:rtl/>
        </w:rPr>
        <w:t xml:space="preserve">) את סרבן הגט לשלם </w:t>
      </w:r>
      <w:r w:rsidR="00BC47AF">
        <w:rPr>
          <w:rFonts w:ascii="David" w:hAnsi="David" w:cs="David" w:hint="cs"/>
          <w:spacing w:val="6"/>
          <w:sz w:val="24"/>
          <w:szCs w:val="24"/>
          <w:rtl/>
        </w:rPr>
        <w:t xml:space="preserve">פיצוי </w:t>
      </w:r>
      <w:r>
        <w:rPr>
          <w:rFonts w:ascii="David" w:hAnsi="David" w:cs="David"/>
          <w:spacing w:val="6"/>
          <w:sz w:val="24"/>
          <w:szCs w:val="24"/>
          <w:rtl/>
        </w:rPr>
        <w:t xml:space="preserve">בגין סרבנות גט </w:t>
      </w:r>
      <w:r w:rsidR="00BC47AF">
        <w:rPr>
          <w:rFonts w:ascii="David" w:hAnsi="David" w:cs="David" w:hint="cs"/>
          <w:spacing w:val="6"/>
          <w:sz w:val="24"/>
          <w:szCs w:val="24"/>
          <w:rtl/>
        </w:rPr>
        <w:t xml:space="preserve">משך </w:t>
      </w:r>
      <w:r>
        <w:rPr>
          <w:rFonts w:ascii="David" w:hAnsi="David" w:cs="David"/>
          <w:spacing w:val="6"/>
          <w:sz w:val="24"/>
          <w:szCs w:val="24"/>
          <w:rtl/>
        </w:rPr>
        <w:t>כ-3.5 שנים</w:t>
      </w:r>
      <w:r w:rsidR="00BC47AF">
        <w:rPr>
          <w:rFonts w:ascii="David" w:hAnsi="David" w:cs="David" w:hint="cs"/>
          <w:spacing w:val="6"/>
          <w:sz w:val="24"/>
          <w:szCs w:val="24"/>
          <w:rtl/>
        </w:rPr>
        <w:t xml:space="preserve"> </w:t>
      </w:r>
      <w:r w:rsidR="00BC47AF">
        <w:rPr>
          <w:rFonts w:ascii="David" w:hAnsi="David" w:cs="David"/>
          <w:spacing w:val="6"/>
          <w:sz w:val="24"/>
          <w:szCs w:val="24"/>
          <w:rtl/>
        </w:rPr>
        <w:t>סך של 164,000 ₪</w:t>
      </w:r>
      <w:r w:rsidR="00BC47AF">
        <w:rPr>
          <w:rFonts w:ascii="David" w:hAnsi="David" w:cs="David" w:hint="cs"/>
          <w:spacing w:val="6"/>
          <w:sz w:val="24"/>
          <w:szCs w:val="24"/>
          <w:rtl/>
        </w:rPr>
        <w:t xml:space="preserve"> (</w:t>
      </w:r>
      <w:r>
        <w:rPr>
          <w:rFonts w:ascii="David" w:hAnsi="David" w:cs="David"/>
          <w:spacing w:val="6"/>
          <w:sz w:val="24"/>
          <w:szCs w:val="24"/>
          <w:rtl/>
        </w:rPr>
        <w:t xml:space="preserve">קרי- סך של </w:t>
      </w:r>
      <w:r>
        <w:rPr>
          <w:rFonts w:ascii="David" w:hAnsi="David" w:cs="David"/>
          <w:b/>
          <w:bCs/>
          <w:spacing w:val="6"/>
          <w:sz w:val="24"/>
          <w:szCs w:val="24"/>
          <w:rtl/>
        </w:rPr>
        <w:t>4,000 ₪ לחודש</w:t>
      </w:r>
      <w:r w:rsidR="00BC47AF">
        <w:rPr>
          <w:rFonts w:ascii="David" w:hAnsi="David" w:cs="David" w:hint="cs"/>
          <w:spacing w:val="6"/>
          <w:sz w:val="24"/>
          <w:szCs w:val="24"/>
          <w:rtl/>
        </w:rPr>
        <w:t>)</w:t>
      </w:r>
      <w:r>
        <w:rPr>
          <w:rFonts w:ascii="David" w:hAnsi="David" w:cs="David"/>
          <w:spacing w:val="6"/>
          <w:sz w:val="24"/>
          <w:szCs w:val="24"/>
          <w:rtl/>
        </w:rPr>
        <w:t>.</w:t>
      </w:r>
    </w:p>
    <w:p w:rsidR="00A76863" w:rsidRDefault="00A76863" w:rsidP="00A76863">
      <w:pPr>
        <w:pStyle w:val="ad"/>
        <w:spacing w:after="0" w:line="306" w:lineRule="exact"/>
        <w:rPr>
          <w:rFonts w:ascii="Miriam" w:hAnsi="Miriam" w:cs="Miriam"/>
          <w:spacing w:val="6"/>
          <w:sz w:val="24"/>
          <w:szCs w:val="24"/>
        </w:rPr>
      </w:pPr>
    </w:p>
    <w:p w:rsidR="00A76863" w:rsidRDefault="00A76863" w:rsidP="00BC47AF">
      <w:pPr>
        <w:pStyle w:val="ad"/>
        <w:numPr>
          <w:ilvl w:val="0"/>
          <w:numId w:val="7"/>
        </w:numPr>
        <w:spacing w:after="0" w:line="306" w:lineRule="exact"/>
        <w:jc w:val="both"/>
        <w:rPr>
          <w:rFonts w:ascii="Arial" w:hAnsi="Arial"/>
          <w:spacing w:val="6"/>
          <w:sz w:val="24"/>
          <w:szCs w:val="24"/>
          <w:rtl/>
        </w:rPr>
      </w:pPr>
      <w:r>
        <w:rPr>
          <w:rFonts w:ascii="Miriam" w:hAnsi="Miriam" w:cs="Miriam"/>
          <w:spacing w:val="6"/>
          <w:sz w:val="24"/>
          <w:szCs w:val="24"/>
          <w:rtl/>
        </w:rPr>
        <w:t>תמ"ש (י-ם) 39371-09-12 ש.ב.ע. נ' צ.ב.ע. (10.12.2013)</w:t>
      </w:r>
      <w:r>
        <w:rPr>
          <w:rFonts w:ascii="David" w:hAnsi="David" w:cs="David"/>
          <w:spacing w:val="6"/>
          <w:sz w:val="24"/>
          <w:szCs w:val="24"/>
          <w:rtl/>
        </w:rPr>
        <w:t xml:space="preserve"> – פסק בית המשפט (כב' השופטת מימון) </w:t>
      </w:r>
      <w:r>
        <w:rPr>
          <w:rFonts w:cs="David"/>
          <w:spacing w:val="6"/>
          <w:sz w:val="24"/>
          <w:szCs w:val="24"/>
          <w:rtl/>
        </w:rPr>
        <w:t>ביחס לתקופה של כ-21 חודשים (בדומה לפרק הזמן שבתיק זה) במקרה של סרבנות גט מצידה של אישה כנגד בעלה פיצויים בסך של 43,750 ₪</w:t>
      </w:r>
      <w:r w:rsidR="00BC47AF">
        <w:rPr>
          <w:rFonts w:cs="David" w:hint="cs"/>
          <w:spacing w:val="6"/>
          <w:sz w:val="24"/>
          <w:szCs w:val="24"/>
          <w:rtl/>
        </w:rPr>
        <w:t xml:space="preserve"> (</w:t>
      </w:r>
      <w:r>
        <w:rPr>
          <w:rFonts w:cs="David"/>
          <w:spacing w:val="6"/>
          <w:sz w:val="24"/>
          <w:szCs w:val="24"/>
          <w:rtl/>
        </w:rPr>
        <w:t>קרי- סך של כ-</w:t>
      </w:r>
      <w:r>
        <w:rPr>
          <w:rFonts w:cs="David"/>
          <w:b/>
          <w:bCs/>
          <w:spacing w:val="6"/>
          <w:sz w:val="24"/>
          <w:szCs w:val="24"/>
          <w:rtl/>
        </w:rPr>
        <w:t xml:space="preserve"> 2,083 ₪ לחודש</w:t>
      </w:r>
      <w:r w:rsidR="00BC47AF">
        <w:rPr>
          <w:rFonts w:cs="David" w:hint="cs"/>
          <w:spacing w:val="6"/>
          <w:sz w:val="24"/>
          <w:szCs w:val="24"/>
          <w:rtl/>
        </w:rPr>
        <w:t>)</w:t>
      </w:r>
      <w:r>
        <w:rPr>
          <w:rFonts w:cs="David"/>
          <w:spacing w:val="6"/>
          <w:sz w:val="24"/>
          <w:szCs w:val="24"/>
          <w:rtl/>
        </w:rPr>
        <w:t>.</w:t>
      </w:r>
    </w:p>
    <w:p w:rsidR="00A76863" w:rsidRDefault="00A76863" w:rsidP="00A76863">
      <w:pPr>
        <w:pStyle w:val="ad"/>
        <w:spacing w:after="0" w:line="306" w:lineRule="exact"/>
        <w:rPr>
          <w:rFonts w:ascii="Arial" w:hAnsi="Arial"/>
          <w:spacing w:val="6"/>
          <w:sz w:val="24"/>
          <w:szCs w:val="24"/>
        </w:rPr>
      </w:pPr>
    </w:p>
    <w:p w:rsidR="00A76863" w:rsidRDefault="00A76863" w:rsidP="00BC47AF">
      <w:pPr>
        <w:pStyle w:val="ad"/>
        <w:numPr>
          <w:ilvl w:val="0"/>
          <w:numId w:val="7"/>
        </w:numPr>
        <w:spacing w:after="0" w:line="306" w:lineRule="exact"/>
        <w:jc w:val="both"/>
        <w:rPr>
          <w:rFonts w:ascii="David" w:hAnsi="David" w:cs="David"/>
          <w:spacing w:val="6"/>
          <w:sz w:val="24"/>
          <w:szCs w:val="24"/>
          <w:rtl/>
        </w:rPr>
      </w:pPr>
      <w:r>
        <w:rPr>
          <w:rFonts w:ascii="Miriam" w:hAnsi="Miriam" w:cs="Miriam"/>
          <w:spacing w:val="6"/>
          <w:sz w:val="24"/>
          <w:szCs w:val="24"/>
          <w:rtl/>
        </w:rPr>
        <w:t>תמ"ש (י-ם) 26190/08 ש.ז נ' ד.ז (28.2.2013)</w:t>
      </w:r>
      <w:r>
        <w:rPr>
          <w:rFonts w:ascii="David" w:hAnsi="David" w:cs="David"/>
          <w:spacing w:val="6"/>
          <w:sz w:val="24"/>
          <w:szCs w:val="24"/>
          <w:rtl/>
        </w:rPr>
        <w:t xml:space="preserve"> – פסק בית המשפט (כב' השופט גרינברגר) פסק פיצויים בגין הנזקים שנגרמו למסורבת גט משך 3 שנים ו-3 חודשים סך של 162,500 ₪</w:t>
      </w:r>
      <w:r w:rsidR="00BC47AF">
        <w:rPr>
          <w:rFonts w:ascii="David" w:hAnsi="David" w:cs="David" w:hint="cs"/>
          <w:spacing w:val="6"/>
          <w:sz w:val="24"/>
          <w:szCs w:val="24"/>
          <w:rtl/>
        </w:rPr>
        <w:t xml:space="preserve"> (</w:t>
      </w:r>
      <w:r>
        <w:rPr>
          <w:rFonts w:ascii="David" w:hAnsi="David" w:cs="David"/>
          <w:spacing w:val="6"/>
          <w:sz w:val="24"/>
          <w:szCs w:val="24"/>
          <w:rtl/>
        </w:rPr>
        <w:t>קרי</w:t>
      </w:r>
      <w:r w:rsidR="00BC47AF">
        <w:rPr>
          <w:rFonts w:ascii="David" w:hAnsi="David" w:cs="David" w:hint="cs"/>
          <w:spacing w:val="6"/>
          <w:sz w:val="24"/>
          <w:szCs w:val="24"/>
          <w:rtl/>
        </w:rPr>
        <w:t>-</w:t>
      </w:r>
      <w:r>
        <w:rPr>
          <w:rFonts w:ascii="David" w:hAnsi="David" w:cs="David"/>
          <w:spacing w:val="6"/>
          <w:sz w:val="24"/>
          <w:szCs w:val="24"/>
          <w:rtl/>
        </w:rPr>
        <w:t xml:space="preserve"> סך של </w:t>
      </w:r>
      <w:r>
        <w:rPr>
          <w:rFonts w:ascii="David" w:hAnsi="David" w:cs="David"/>
          <w:b/>
          <w:bCs/>
          <w:spacing w:val="6"/>
          <w:sz w:val="24"/>
          <w:szCs w:val="24"/>
          <w:rtl/>
        </w:rPr>
        <w:t>4,166 ₪ לחודש</w:t>
      </w:r>
      <w:r w:rsidR="00BC47AF">
        <w:rPr>
          <w:rFonts w:ascii="David" w:hAnsi="David" w:cs="David" w:hint="cs"/>
          <w:spacing w:val="6"/>
          <w:sz w:val="24"/>
          <w:szCs w:val="24"/>
          <w:rtl/>
        </w:rPr>
        <w:t xml:space="preserve">) </w:t>
      </w:r>
      <w:r>
        <w:rPr>
          <w:rFonts w:ascii="David" w:hAnsi="David" w:cs="David"/>
          <w:spacing w:val="6"/>
          <w:sz w:val="24"/>
          <w:szCs w:val="24"/>
          <w:rtl/>
        </w:rPr>
        <w:t xml:space="preserve">ובנוסף פיצויים מוגברים בסך של 40,000 ₪.  </w:t>
      </w:r>
    </w:p>
    <w:p w:rsidR="00A76863" w:rsidRDefault="00A76863" w:rsidP="00A76863">
      <w:pPr>
        <w:pStyle w:val="ad"/>
        <w:spacing w:after="0" w:line="306" w:lineRule="exact"/>
        <w:ind w:left="869"/>
        <w:jc w:val="both"/>
        <w:rPr>
          <w:rFonts w:ascii="David" w:hAnsi="David" w:cs="David"/>
          <w:spacing w:val="6"/>
          <w:sz w:val="24"/>
          <w:szCs w:val="24"/>
          <w:rtl/>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spacing w:val="6"/>
          <w:sz w:val="24"/>
          <w:szCs w:val="24"/>
          <w:rtl/>
        </w:rPr>
        <w:lastRenderedPageBreak/>
        <w:t>במקרה הנדון, אני מעריכה כי לתובעת נגרם נזק בדרגה שאיננה מהחמורות, יחסית, המתמקדת בעיקרה בפגיעה באוטונומיה הבסיסית שלה. מכל מקום, וככל שנגרמו לה נזקים נוספים, הרי שראיות לקיומן כאמור לא הובאו בפניי.</w:t>
      </w:r>
    </w:p>
    <w:p w:rsidR="00A76863" w:rsidRDefault="00A76863" w:rsidP="00A76863">
      <w:pPr>
        <w:pStyle w:val="ad"/>
        <w:spacing w:after="0" w:line="306" w:lineRule="exact"/>
        <w:ind w:left="509"/>
        <w:jc w:val="both"/>
        <w:rPr>
          <w:rFonts w:cs="David"/>
          <w:spacing w:val="6"/>
          <w:sz w:val="24"/>
          <w:szCs w:val="24"/>
        </w:rPr>
      </w:pPr>
    </w:p>
    <w:p w:rsidR="00A76863" w:rsidRDefault="00A76863" w:rsidP="00A76863">
      <w:pPr>
        <w:pStyle w:val="ad"/>
        <w:numPr>
          <w:ilvl w:val="0"/>
          <w:numId w:val="2"/>
        </w:numPr>
        <w:spacing w:after="0" w:line="306" w:lineRule="exact"/>
        <w:ind w:left="509"/>
        <w:jc w:val="both"/>
        <w:rPr>
          <w:rFonts w:cs="David"/>
          <w:spacing w:val="6"/>
          <w:sz w:val="24"/>
          <w:szCs w:val="24"/>
        </w:rPr>
      </w:pPr>
      <w:r>
        <w:rPr>
          <w:rFonts w:cs="David"/>
          <w:spacing w:val="6"/>
          <w:sz w:val="24"/>
          <w:szCs w:val="24"/>
          <w:rtl/>
        </w:rPr>
        <w:t>במכלול השיקולים לצורך אומדן הנזק, נלקח בחשבון אלה: התובעת היא אישה דתייה; ההתחייבות המפורשות שנתן הנתבע במסגרת ההסכם ליתן לתובעת את ג</w:t>
      </w:r>
      <w:r w:rsidR="00826C69">
        <w:rPr>
          <w:rFonts w:cs="David" w:hint="cs"/>
          <w:spacing w:val="6"/>
          <w:sz w:val="24"/>
          <w:szCs w:val="24"/>
          <w:rtl/>
        </w:rPr>
        <w:t>י</w:t>
      </w:r>
      <w:r>
        <w:rPr>
          <w:rFonts w:cs="David"/>
          <w:spacing w:val="6"/>
          <w:sz w:val="24"/>
          <w:szCs w:val="24"/>
          <w:rtl/>
        </w:rPr>
        <w:t>טה; הפרת ההתחייבות וסירובו של הנתבע ליתן גט זמן קצר לאחר חתימת ההסכם מן הטעם שהוא מבקש שלום בית; מגורי הצדדים תחת קורת גג אחת; סירובו של הנתבע ליתן גט לאחר שהוגשה תביעת הגירושין מטעם האישה; המועד בו ניתן הגט (למעלה משנה לאחר הגשת התובענה דנן וכ-21 חודשים לאחר חתימת ההסכם</w:t>
      </w:r>
      <w:r w:rsidR="008B0E6A">
        <w:rPr>
          <w:rFonts w:cs="David" w:hint="cs"/>
          <w:spacing w:val="6"/>
          <w:sz w:val="24"/>
          <w:szCs w:val="24"/>
          <w:rtl/>
        </w:rPr>
        <w:t>)</w:t>
      </w:r>
      <w:r>
        <w:rPr>
          <w:rFonts w:cs="David"/>
          <w:spacing w:val="6"/>
          <w:sz w:val="24"/>
          <w:szCs w:val="24"/>
          <w:rtl/>
        </w:rPr>
        <w:t>.</w:t>
      </w:r>
    </w:p>
    <w:p w:rsidR="00A76863" w:rsidRDefault="00A76863" w:rsidP="00A76863">
      <w:pPr>
        <w:pStyle w:val="ad"/>
        <w:spacing w:after="0" w:line="306" w:lineRule="exact"/>
        <w:ind w:left="509"/>
        <w:jc w:val="both"/>
        <w:rPr>
          <w:rFonts w:cs="David"/>
          <w:spacing w:val="6"/>
          <w:sz w:val="24"/>
          <w:szCs w:val="24"/>
          <w:u w:val="single"/>
        </w:rPr>
      </w:pPr>
    </w:p>
    <w:p w:rsidR="00A76863" w:rsidRDefault="00A76863" w:rsidP="008B0E6A">
      <w:pPr>
        <w:pStyle w:val="ad"/>
        <w:numPr>
          <w:ilvl w:val="0"/>
          <w:numId w:val="2"/>
        </w:numPr>
        <w:spacing w:after="0" w:line="306" w:lineRule="exact"/>
        <w:ind w:left="509"/>
        <w:jc w:val="both"/>
        <w:rPr>
          <w:rFonts w:ascii="David" w:hAnsi="David" w:cs="David"/>
          <w:b/>
          <w:spacing w:val="6"/>
          <w:sz w:val="24"/>
          <w:szCs w:val="24"/>
        </w:rPr>
      </w:pPr>
      <w:r>
        <w:rPr>
          <w:rFonts w:ascii="David" w:hAnsi="David" w:cs="David"/>
          <w:b/>
          <w:spacing w:val="6"/>
          <w:sz w:val="24"/>
          <w:szCs w:val="24"/>
          <w:rtl/>
        </w:rPr>
        <w:t xml:space="preserve">לנוכח מכלול השיקולים דלעיל, </w:t>
      </w:r>
      <w:r w:rsidR="008B0E6A">
        <w:rPr>
          <w:rFonts w:ascii="David" w:hAnsi="David" w:cs="David" w:hint="cs"/>
          <w:b/>
          <w:spacing w:val="6"/>
          <w:sz w:val="24"/>
          <w:szCs w:val="24"/>
          <w:rtl/>
        </w:rPr>
        <w:t>מצאתי ל</w:t>
      </w:r>
      <w:r>
        <w:rPr>
          <w:rFonts w:ascii="David" w:hAnsi="David" w:cs="David"/>
          <w:b/>
          <w:spacing w:val="6"/>
          <w:sz w:val="24"/>
          <w:szCs w:val="24"/>
          <w:rtl/>
        </w:rPr>
        <w:t xml:space="preserve">חייב את הנתבע בפיצויים בגין הנזקים שנגרמו לתובעת ממועד הגשת הבקשה לגירושין, ביום 16.7.2019, ועד ליום מתן הגט, ביום 20.4.2021, בסך של 63,000 ₪ (21 חודשים </w:t>
      </w:r>
      <w:r>
        <w:rPr>
          <w:rFonts w:ascii="David" w:hAnsi="David" w:cs="David"/>
          <w:b/>
          <w:spacing w:val="6"/>
          <w:sz w:val="24"/>
          <w:szCs w:val="24"/>
        </w:rPr>
        <w:t>X</w:t>
      </w:r>
      <w:r>
        <w:rPr>
          <w:rFonts w:ascii="David" w:hAnsi="David" w:cs="David"/>
          <w:b/>
          <w:spacing w:val="6"/>
          <w:sz w:val="24"/>
          <w:szCs w:val="24"/>
          <w:rtl/>
        </w:rPr>
        <w:t xml:space="preserve"> 3,000 ₪ לחודש).</w:t>
      </w:r>
    </w:p>
    <w:p w:rsidR="00A76863" w:rsidRPr="008B0E6A" w:rsidRDefault="00A76863" w:rsidP="00A76863">
      <w:pPr>
        <w:pStyle w:val="ad"/>
        <w:spacing w:after="0" w:line="306" w:lineRule="exact"/>
        <w:rPr>
          <w:rFonts w:ascii="David" w:hAnsi="David" w:cs="David"/>
          <w:b/>
          <w:spacing w:val="6"/>
          <w:sz w:val="24"/>
          <w:szCs w:val="24"/>
        </w:rPr>
      </w:pPr>
    </w:p>
    <w:p w:rsidR="00A76863" w:rsidRDefault="00A76863" w:rsidP="00A76863">
      <w:pPr>
        <w:pStyle w:val="Style1"/>
        <w:numPr>
          <w:ilvl w:val="0"/>
          <w:numId w:val="0"/>
        </w:numPr>
        <w:spacing w:after="0" w:line="306" w:lineRule="exact"/>
        <w:ind w:left="84"/>
        <w:rPr>
          <w:b/>
          <w:bCs/>
          <w:spacing w:val="6"/>
          <w:u w:val="thick"/>
          <w:rtl/>
        </w:rPr>
      </w:pPr>
      <w:r>
        <w:rPr>
          <w:rFonts w:hint="cs"/>
          <w:b/>
          <w:bCs/>
          <w:spacing w:val="6"/>
          <w:u w:val="thick"/>
          <w:rtl/>
        </w:rPr>
        <w:t>סוף דבר</w:t>
      </w:r>
    </w:p>
    <w:p w:rsidR="00A76863" w:rsidRDefault="00A76863" w:rsidP="00A76863">
      <w:pPr>
        <w:spacing w:line="306" w:lineRule="exact"/>
        <w:jc w:val="both"/>
        <w:rPr>
          <w:rFonts w:ascii="David" w:hAnsi="David"/>
          <w:b/>
          <w:bCs/>
          <w:spacing w:val="6"/>
          <w:u w:val="thick"/>
          <w:rtl/>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 xml:space="preserve">אשר על כן, אני קובעת כדלקמן: </w:t>
      </w:r>
    </w:p>
    <w:p w:rsidR="00A76863" w:rsidRDefault="00A76863" w:rsidP="00A76863">
      <w:pPr>
        <w:spacing w:line="306" w:lineRule="exact"/>
        <w:rPr>
          <w:rFonts w:ascii="David" w:hAnsi="David"/>
          <w:spacing w:val="6"/>
          <w:rtl/>
        </w:rPr>
      </w:pPr>
    </w:p>
    <w:p w:rsidR="00A76863" w:rsidRDefault="00A76863" w:rsidP="00A76863">
      <w:pPr>
        <w:pStyle w:val="ad"/>
        <w:numPr>
          <w:ilvl w:val="0"/>
          <w:numId w:val="8"/>
        </w:numPr>
        <w:spacing w:after="0" w:line="306" w:lineRule="exact"/>
        <w:ind w:left="935" w:hanging="426"/>
        <w:jc w:val="both"/>
        <w:rPr>
          <w:rFonts w:ascii="David" w:hAnsi="David" w:cs="David"/>
          <w:spacing w:val="6"/>
          <w:sz w:val="24"/>
          <w:szCs w:val="24"/>
          <w:rtl/>
        </w:rPr>
      </w:pPr>
      <w:r>
        <w:rPr>
          <w:rFonts w:ascii="David" w:hAnsi="David" w:cs="David"/>
          <w:spacing w:val="6"/>
          <w:sz w:val="24"/>
          <w:szCs w:val="24"/>
          <w:rtl/>
        </w:rPr>
        <w:t xml:space="preserve">הנתבע ישלם לידי התובעת כפיצוי נזיקי סך של 63,000 ₪.  </w:t>
      </w:r>
    </w:p>
    <w:p w:rsidR="00A76863" w:rsidRDefault="00A76863" w:rsidP="00A76863">
      <w:pPr>
        <w:pStyle w:val="ad"/>
        <w:spacing w:after="0" w:line="306" w:lineRule="exact"/>
        <w:ind w:left="935"/>
        <w:jc w:val="both"/>
        <w:rPr>
          <w:rFonts w:ascii="David" w:hAnsi="David" w:cs="David"/>
          <w:spacing w:val="6"/>
          <w:sz w:val="24"/>
          <w:szCs w:val="24"/>
        </w:rPr>
      </w:pPr>
    </w:p>
    <w:p w:rsidR="008B0E6A" w:rsidRDefault="00A76863" w:rsidP="008B0E6A">
      <w:pPr>
        <w:pStyle w:val="ad"/>
        <w:numPr>
          <w:ilvl w:val="0"/>
          <w:numId w:val="8"/>
        </w:numPr>
        <w:spacing w:after="0" w:line="306" w:lineRule="exact"/>
        <w:ind w:left="935" w:hanging="426"/>
        <w:jc w:val="both"/>
        <w:rPr>
          <w:rFonts w:ascii="David" w:hAnsi="David" w:cs="David"/>
          <w:spacing w:val="6"/>
          <w:sz w:val="24"/>
          <w:szCs w:val="24"/>
        </w:rPr>
      </w:pPr>
      <w:r>
        <w:rPr>
          <w:rFonts w:ascii="David" w:hAnsi="David" w:cs="David"/>
          <w:spacing w:val="6"/>
          <w:sz w:val="24"/>
          <w:szCs w:val="24"/>
          <w:rtl/>
        </w:rPr>
        <w:t>הנתבע י</w:t>
      </w:r>
      <w:r w:rsidR="008B0E6A">
        <w:rPr>
          <w:rFonts w:ascii="David" w:hAnsi="David" w:cs="David" w:hint="cs"/>
          <w:spacing w:val="6"/>
          <w:sz w:val="24"/>
          <w:szCs w:val="24"/>
          <w:rtl/>
        </w:rPr>
        <w:t xml:space="preserve">שלם לידי התובעת </w:t>
      </w:r>
      <w:r>
        <w:rPr>
          <w:rFonts w:ascii="David" w:hAnsi="David" w:cs="David"/>
          <w:spacing w:val="6"/>
          <w:sz w:val="24"/>
          <w:szCs w:val="24"/>
          <w:rtl/>
        </w:rPr>
        <w:t xml:space="preserve">הוצאות משפט בסך של </w:t>
      </w:r>
      <w:r w:rsidR="008B0E6A">
        <w:rPr>
          <w:rFonts w:ascii="David" w:hAnsi="David" w:cs="David" w:hint="cs"/>
          <w:spacing w:val="6"/>
          <w:sz w:val="24"/>
          <w:szCs w:val="24"/>
          <w:rtl/>
        </w:rPr>
        <w:t>18</w:t>
      </w:r>
      <w:r>
        <w:rPr>
          <w:rFonts w:ascii="David" w:hAnsi="David" w:cs="David"/>
          <w:spacing w:val="6"/>
          <w:sz w:val="24"/>
          <w:szCs w:val="24"/>
          <w:rtl/>
        </w:rPr>
        <w:t xml:space="preserve">,000 ₪. </w:t>
      </w:r>
    </w:p>
    <w:p w:rsidR="008B0E6A" w:rsidRPr="008B0E6A" w:rsidRDefault="008B0E6A" w:rsidP="008B0E6A">
      <w:pPr>
        <w:pStyle w:val="ad"/>
        <w:rPr>
          <w:rFonts w:ascii="David" w:hAnsi="David" w:cs="David"/>
          <w:spacing w:val="6"/>
          <w:sz w:val="24"/>
          <w:szCs w:val="24"/>
          <w:rtl/>
        </w:rPr>
      </w:pPr>
    </w:p>
    <w:p w:rsidR="008B0E6A" w:rsidRDefault="008B0E6A" w:rsidP="008B0E6A">
      <w:pPr>
        <w:pStyle w:val="ad"/>
        <w:numPr>
          <w:ilvl w:val="0"/>
          <w:numId w:val="8"/>
        </w:numPr>
        <w:spacing w:after="0" w:line="306" w:lineRule="exact"/>
        <w:ind w:left="935" w:hanging="426"/>
        <w:jc w:val="both"/>
        <w:rPr>
          <w:rFonts w:ascii="David" w:hAnsi="David" w:cs="David"/>
          <w:spacing w:val="6"/>
          <w:sz w:val="24"/>
          <w:szCs w:val="24"/>
        </w:rPr>
      </w:pPr>
      <w:r w:rsidRPr="008B0E6A">
        <w:rPr>
          <w:rFonts w:ascii="David" w:hAnsi="David" w:cs="David"/>
          <w:spacing w:val="6"/>
          <w:sz w:val="24"/>
          <w:szCs w:val="24"/>
          <w:rtl/>
        </w:rPr>
        <w:t>הסכו</w:t>
      </w:r>
      <w:r>
        <w:rPr>
          <w:rFonts w:ascii="David" w:hAnsi="David" w:cs="David" w:hint="cs"/>
          <w:spacing w:val="6"/>
          <w:sz w:val="24"/>
          <w:szCs w:val="24"/>
          <w:rtl/>
        </w:rPr>
        <w:t>מי</w:t>
      </w:r>
      <w:r w:rsidRPr="008B0E6A">
        <w:rPr>
          <w:rFonts w:ascii="David" w:hAnsi="David" w:cs="David"/>
          <w:spacing w:val="6"/>
          <w:sz w:val="24"/>
          <w:szCs w:val="24"/>
          <w:rtl/>
        </w:rPr>
        <w:t xml:space="preserve">ם </w:t>
      </w:r>
      <w:r>
        <w:rPr>
          <w:rFonts w:ascii="David" w:hAnsi="David" w:cs="David" w:hint="cs"/>
          <w:spacing w:val="6"/>
          <w:sz w:val="24"/>
          <w:szCs w:val="24"/>
          <w:rtl/>
        </w:rPr>
        <w:t xml:space="preserve">הנ"ל </w:t>
      </w:r>
      <w:r w:rsidRPr="008B0E6A">
        <w:rPr>
          <w:rFonts w:ascii="David" w:hAnsi="David" w:cs="David"/>
          <w:spacing w:val="6"/>
          <w:sz w:val="24"/>
          <w:szCs w:val="24"/>
          <w:rtl/>
        </w:rPr>
        <w:t>ישול</w:t>
      </w:r>
      <w:r>
        <w:rPr>
          <w:rFonts w:ascii="David" w:hAnsi="David" w:cs="David" w:hint="cs"/>
          <w:spacing w:val="6"/>
          <w:sz w:val="24"/>
          <w:szCs w:val="24"/>
          <w:rtl/>
        </w:rPr>
        <w:t>מו</w:t>
      </w:r>
      <w:r w:rsidRPr="008B0E6A">
        <w:rPr>
          <w:rFonts w:ascii="David" w:hAnsi="David" w:cs="David"/>
          <w:spacing w:val="6"/>
          <w:sz w:val="24"/>
          <w:szCs w:val="24"/>
          <w:rtl/>
        </w:rPr>
        <w:t xml:space="preserve"> </w:t>
      </w:r>
      <w:r>
        <w:rPr>
          <w:rFonts w:ascii="David" w:hAnsi="David" w:cs="David" w:hint="cs"/>
          <w:spacing w:val="6"/>
          <w:sz w:val="24"/>
          <w:szCs w:val="24"/>
          <w:rtl/>
        </w:rPr>
        <w:t xml:space="preserve">לידי התובעת </w:t>
      </w:r>
      <w:r w:rsidRPr="008B0E6A">
        <w:rPr>
          <w:rFonts w:ascii="David" w:hAnsi="David" w:cs="David"/>
          <w:spacing w:val="6"/>
          <w:sz w:val="24"/>
          <w:szCs w:val="24"/>
          <w:rtl/>
        </w:rPr>
        <w:t>בתוך 30 יום</w:t>
      </w:r>
      <w:r>
        <w:rPr>
          <w:rFonts w:ascii="David" w:hAnsi="David" w:cs="David" w:hint="cs"/>
          <w:spacing w:val="6"/>
          <w:sz w:val="24"/>
          <w:szCs w:val="24"/>
          <w:rtl/>
        </w:rPr>
        <w:t>,</w:t>
      </w:r>
      <w:r w:rsidRPr="008B0E6A">
        <w:rPr>
          <w:rFonts w:ascii="David" w:hAnsi="David" w:cs="David"/>
          <w:spacing w:val="6"/>
          <w:sz w:val="24"/>
          <w:szCs w:val="24"/>
          <w:rtl/>
        </w:rPr>
        <w:t xml:space="preserve"> אחרת ישא</w:t>
      </w:r>
      <w:r>
        <w:rPr>
          <w:rFonts w:ascii="David" w:hAnsi="David" w:cs="David" w:hint="cs"/>
          <w:spacing w:val="6"/>
          <w:sz w:val="24"/>
          <w:szCs w:val="24"/>
          <w:rtl/>
        </w:rPr>
        <w:t>ו</w:t>
      </w:r>
      <w:r w:rsidRPr="008B0E6A">
        <w:rPr>
          <w:rFonts w:ascii="David" w:hAnsi="David" w:cs="David"/>
          <w:spacing w:val="6"/>
          <w:sz w:val="24"/>
          <w:szCs w:val="24"/>
          <w:rtl/>
        </w:rPr>
        <w:t xml:space="preserve"> ריבית והפרשי הצמדה כדין ממועד </w:t>
      </w:r>
      <w:r>
        <w:rPr>
          <w:rFonts w:ascii="David" w:hAnsi="David" w:cs="David" w:hint="cs"/>
          <w:spacing w:val="6"/>
          <w:sz w:val="24"/>
          <w:szCs w:val="24"/>
          <w:rtl/>
        </w:rPr>
        <w:t xml:space="preserve">החיוב </w:t>
      </w:r>
      <w:r w:rsidRPr="008B0E6A">
        <w:rPr>
          <w:rFonts w:ascii="David" w:hAnsi="David" w:cs="David"/>
          <w:spacing w:val="6"/>
          <w:sz w:val="24"/>
          <w:szCs w:val="24"/>
          <w:rtl/>
        </w:rPr>
        <w:t>ועד ל</w:t>
      </w:r>
      <w:r>
        <w:rPr>
          <w:rFonts w:ascii="David" w:hAnsi="David" w:cs="David" w:hint="cs"/>
          <w:spacing w:val="6"/>
          <w:sz w:val="24"/>
          <w:szCs w:val="24"/>
          <w:rtl/>
        </w:rPr>
        <w:t xml:space="preserve">מועד </w:t>
      </w:r>
      <w:r w:rsidRPr="008B0E6A">
        <w:rPr>
          <w:rFonts w:ascii="David" w:hAnsi="David" w:cs="David"/>
          <w:spacing w:val="6"/>
          <w:sz w:val="24"/>
          <w:szCs w:val="24"/>
          <w:rtl/>
        </w:rPr>
        <w:t xml:space="preserve">התשלום בפועל. </w:t>
      </w:r>
    </w:p>
    <w:p w:rsidR="008B0E6A" w:rsidRPr="008B0E6A" w:rsidRDefault="008B0E6A" w:rsidP="008B0E6A">
      <w:pPr>
        <w:pStyle w:val="ad"/>
        <w:rPr>
          <w:rFonts w:ascii="David" w:hAnsi="David" w:cs="David"/>
          <w:spacing w:val="6"/>
          <w:sz w:val="24"/>
          <w:szCs w:val="24"/>
          <w:rtl/>
        </w:rPr>
      </w:pPr>
    </w:p>
    <w:p w:rsidR="008B0E6A" w:rsidRDefault="008B0E6A" w:rsidP="008B0E6A">
      <w:pPr>
        <w:pStyle w:val="ad"/>
        <w:numPr>
          <w:ilvl w:val="0"/>
          <w:numId w:val="8"/>
        </w:numPr>
        <w:spacing w:after="0" w:line="306" w:lineRule="exact"/>
        <w:ind w:left="935" w:hanging="426"/>
        <w:jc w:val="both"/>
        <w:rPr>
          <w:rFonts w:ascii="David" w:hAnsi="David" w:cs="David"/>
          <w:spacing w:val="6"/>
          <w:sz w:val="24"/>
          <w:szCs w:val="24"/>
        </w:rPr>
      </w:pPr>
      <w:r>
        <w:rPr>
          <w:rFonts w:ascii="David" w:hAnsi="David" w:cs="David" w:hint="cs"/>
          <w:spacing w:val="6"/>
          <w:sz w:val="24"/>
          <w:szCs w:val="24"/>
          <w:rtl/>
        </w:rPr>
        <w:t xml:space="preserve">פסק הדין ניתן לפרסום בהשמטת שמות ופרטים מזהים. </w:t>
      </w:r>
    </w:p>
    <w:p w:rsidR="008B0E6A" w:rsidRPr="008B0E6A" w:rsidRDefault="008B0E6A" w:rsidP="008B0E6A">
      <w:pPr>
        <w:pStyle w:val="ad"/>
        <w:rPr>
          <w:rFonts w:ascii="David" w:hAnsi="David" w:cs="David"/>
          <w:spacing w:val="6"/>
          <w:sz w:val="24"/>
          <w:szCs w:val="24"/>
          <w:rtl/>
        </w:rPr>
      </w:pPr>
    </w:p>
    <w:p w:rsidR="00A76863" w:rsidRDefault="00A76863" w:rsidP="00A76863">
      <w:pPr>
        <w:pStyle w:val="ad"/>
        <w:numPr>
          <w:ilvl w:val="0"/>
          <w:numId w:val="2"/>
        </w:numPr>
        <w:spacing w:after="0" w:line="306" w:lineRule="exact"/>
        <w:ind w:left="509"/>
        <w:jc w:val="both"/>
        <w:rPr>
          <w:rFonts w:ascii="David" w:hAnsi="David" w:cs="David"/>
          <w:spacing w:val="6"/>
          <w:sz w:val="24"/>
          <w:szCs w:val="24"/>
          <w:rtl/>
        </w:rPr>
      </w:pPr>
      <w:r>
        <w:rPr>
          <w:rFonts w:ascii="David" w:hAnsi="David" w:cs="David"/>
          <w:spacing w:val="6"/>
          <w:sz w:val="24"/>
          <w:szCs w:val="24"/>
          <w:rtl/>
        </w:rPr>
        <w:t>המזכירות תשלח את פסק הדין לצדדים.</w:t>
      </w:r>
    </w:p>
    <w:p w:rsidR="00A76863" w:rsidRDefault="00A76863" w:rsidP="00A76863">
      <w:pPr>
        <w:spacing w:line="306" w:lineRule="exact"/>
        <w:ind w:left="283"/>
        <w:jc w:val="both"/>
        <w:rPr>
          <w:rFonts w:ascii="Arial" w:hAnsi="Arial" w:cstheme="minorBidi"/>
          <w:spacing w:val="6"/>
          <w:rtl/>
        </w:rPr>
      </w:pPr>
    </w:p>
    <w:p w:rsidR="002914D6" w:rsidRDefault="00011212">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1784405537"/>
          <w:text w:multiLine="1"/>
        </w:sdtPr>
        <w:sdtEndPr/>
        <w:sdtContent>
          <w:r>
            <w:rPr>
              <w:rFonts w:ascii="Arial" w:hAnsi="Arial"/>
              <w:noProof w:val="0"/>
              <w:rtl/>
            </w:rPr>
            <w:t>כ"ה תמוז תשפ"ג</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14 יולי 2023</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674B74">
      <w:pPr>
        <w:spacing w:line="360" w:lineRule="auto"/>
        <w:ind w:left="3600" w:firstLine="720"/>
        <w:jc w:val="both"/>
      </w:pPr>
      <w:sdt>
        <w:sdtPr>
          <w:rPr>
            <w:rtl/>
          </w:rPr>
          <w:alias w:val="MergeField"/>
          <w:tag w:val="1237"/>
          <w:id w:val="-1841605803"/>
        </w:sdtPr>
        <w:sdtEndPr/>
        <w:sdtContent>
          <w:r w:rsidR="00580552">
            <w:drawing>
              <wp:inline distT="0" distB="0" distL="0" distR="0" wp14:editId="50D07946">
                <wp:extent cx="1343025" cy="98107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9" cstate="print">
                          <a:extLst/>
                        </a:blip>
                        <a:stretch>
                          <a:fillRect/>
                        </a:stretch>
                      </pic:blipFill>
                      <pic:spPr>
                        <a:xfrm>
                          <a:off x="0" y="0"/>
                          <a:ext cx="1343025" cy="981074"/>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2914D6">
      <w:headerReference w:type="even" r:id="rId10"/>
      <w:headerReference w:type="default" r:id="rId11"/>
      <w:footerReference w:type="even" r:id="rId12"/>
      <w:footerReference w:type="default" r:id="rId13"/>
      <w:headerReference w:type="first" r:id="rId14"/>
      <w:footerReference w:type="first" r:id="rId15"/>
      <w:pgSz w:w="11907" w:h="16840" w:code="9"/>
      <w:pgMar w:top="720" w:right="1701" w:bottom="431" w:left="1701"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7409" w:rsidRDefault="009E7409">
      <w:r>
        <w:separator/>
      </w:r>
    </w:p>
  </w:endnote>
  <w:endnote w:type="continuationSeparator" w:id="0">
    <w:p w:rsidR="009E7409" w:rsidRDefault="009E74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ED4" w:rsidRDefault="00CE2ED4">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674B74">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674B74">
      <w:rPr>
        <w:rStyle w:val="ab"/>
        <w:rtl/>
      </w:rPr>
      <w:t>27</w:t>
    </w:r>
    <w:r>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ED4" w:rsidRDefault="00CE2ED4">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7409" w:rsidRDefault="009E7409">
      <w:r>
        <w:separator/>
      </w:r>
    </w:p>
  </w:footnote>
  <w:footnote w:type="continuationSeparator" w:id="0">
    <w:p w:rsidR="009E7409" w:rsidRDefault="009E74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ED4" w:rsidRDefault="00CE2ED4">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Default="00674B74" w:rsidP="00580552">
          <w:pPr>
            <w:rPr>
              <w:b/>
              <w:bCs/>
              <w:noProof w:val="0"/>
              <w:sz w:val="26"/>
              <w:szCs w:val="26"/>
              <w:rtl/>
            </w:rPr>
          </w:pPr>
          <w:sdt>
            <w:sdtPr>
              <w:rPr>
                <w:rtl/>
              </w:rPr>
              <w:alias w:val="1170"/>
              <w:tag w:val="1170"/>
              <w:id w:val="-984775694"/>
              <w:text w:multiLine="1"/>
            </w:sdtPr>
            <w:sdtEndPr/>
            <w:sdtContent>
              <w:r w:rsidR="00BD18F5">
                <w:rPr>
                  <w:b/>
                  <w:bCs/>
                  <w:noProof w:val="0"/>
                  <w:sz w:val="26"/>
                  <w:szCs w:val="26"/>
                  <w:rtl/>
                </w:rPr>
                <w:t>תלה"מ</w:t>
              </w:r>
            </w:sdtContent>
          </w:sdt>
          <w:r w:rsidR="00011212">
            <w:rPr>
              <w:b/>
              <w:bCs/>
              <w:noProof w:val="0"/>
              <w:sz w:val="26"/>
              <w:szCs w:val="26"/>
              <w:rtl/>
            </w:rPr>
            <w:t xml:space="preserve"> </w:t>
          </w:r>
          <w:sdt>
            <w:sdtPr>
              <w:rPr>
                <w:rtl/>
              </w:rPr>
              <w:alias w:val="1171"/>
              <w:tag w:val="1171"/>
              <w:id w:val="1025217868"/>
              <w:text w:multiLine="1"/>
            </w:sdtPr>
            <w:sdtEndPr/>
            <w:sdtContent>
              <w:r w:rsidR="00BD18F5">
                <w:rPr>
                  <w:b/>
                  <w:bCs/>
                  <w:noProof w:val="0"/>
                  <w:sz w:val="26"/>
                  <w:szCs w:val="26"/>
                  <w:rtl/>
                </w:rPr>
                <w:t>3099-11-20</w:t>
              </w:r>
            </w:sdtContent>
          </w:sdt>
          <w:r w:rsidR="00011212">
            <w:rPr>
              <w:b/>
              <w:bCs/>
              <w:noProof w:val="0"/>
              <w:sz w:val="26"/>
              <w:szCs w:val="26"/>
              <w:rtl/>
            </w:rPr>
            <w:t xml:space="preserve"> </w:t>
          </w:r>
          <w:sdt>
            <w:sdtPr>
              <w:rPr>
                <w:rtl/>
              </w:rPr>
              <w:alias w:val="1172"/>
              <w:tag w:val="1172"/>
              <w:id w:val="-673653942"/>
              <w:text w:multiLine="1"/>
            </w:sdtPr>
            <w:sdtEndPr/>
            <w:sdtContent>
              <w:r w:rsidR="00BD18F5">
                <w:rPr>
                  <w:b/>
                  <w:bCs/>
                  <w:noProof w:val="0"/>
                  <w:sz w:val="26"/>
                  <w:szCs w:val="26"/>
                  <w:rtl/>
                </w:rPr>
                <w:t>ג נ' ג</w:t>
              </w:r>
            </w:sdtContent>
          </w:sdt>
        </w:p>
        <w:p w:rsidR="002914D6" w:rsidRDefault="002914D6">
          <w:pPr>
            <w:rPr>
              <w:rtl/>
            </w:rPr>
          </w:pPr>
        </w:p>
      </w:tc>
    </w:tr>
  </w:tbl>
  <w:p w:rsidR="002914D6" w:rsidRDefault="00011212">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E2ED4" w:rsidRDefault="00CE2ED4">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65F82"/>
    <w:multiLevelType w:val="hybridMultilevel"/>
    <w:tmpl w:val="D2AE0062"/>
    <w:lvl w:ilvl="0" w:tplc="BAC0DCC6">
      <w:start w:val="1"/>
      <w:numFmt w:val="hebrew1"/>
      <w:lvlText w:val="%1."/>
      <w:lvlJc w:val="left"/>
      <w:pPr>
        <w:ind w:left="509" w:hanging="360"/>
      </w:pPr>
    </w:lvl>
    <w:lvl w:ilvl="1" w:tplc="47840C34">
      <w:start w:val="1"/>
      <w:numFmt w:val="lowerLetter"/>
      <w:lvlText w:val="%2."/>
      <w:lvlJc w:val="left"/>
      <w:pPr>
        <w:ind w:left="1229" w:hanging="360"/>
      </w:pPr>
    </w:lvl>
    <w:lvl w:ilvl="2" w:tplc="83667B58">
      <w:start w:val="1"/>
      <w:numFmt w:val="lowerRoman"/>
      <w:lvlText w:val="%3."/>
      <w:lvlJc w:val="right"/>
      <w:pPr>
        <w:ind w:left="1949" w:hanging="180"/>
      </w:pPr>
    </w:lvl>
    <w:lvl w:ilvl="3" w:tplc="85BAC594">
      <w:start w:val="1"/>
      <w:numFmt w:val="decimal"/>
      <w:lvlText w:val="%4."/>
      <w:lvlJc w:val="left"/>
      <w:pPr>
        <w:ind w:left="2669" w:hanging="360"/>
      </w:pPr>
    </w:lvl>
    <w:lvl w:ilvl="4" w:tplc="67F8FBB6">
      <w:start w:val="1"/>
      <w:numFmt w:val="lowerLetter"/>
      <w:lvlText w:val="%5."/>
      <w:lvlJc w:val="left"/>
      <w:pPr>
        <w:ind w:left="3389" w:hanging="360"/>
      </w:pPr>
    </w:lvl>
    <w:lvl w:ilvl="5" w:tplc="FC56FA46">
      <w:start w:val="1"/>
      <w:numFmt w:val="lowerRoman"/>
      <w:lvlText w:val="%6."/>
      <w:lvlJc w:val="right"/>
      <w:pPr>
        <w:ind w:left="4109" w:hanging="180"/>
      </w:pPr>
    </w:lvl>
    <w:lvl w:ilvl="6" w:tplc="D774FE0C">
      <w:start w:val="1"/>
      <w:numFmt w:val="decimal"/>
      <w:lvlText w:val="%7."/>
      <w:lvlJc w:val="left"/>
      <w:pPr>
        <w:ind w:left="4829" w:hanging="360"/>
      </w:pPr>
    </w:lvl>
    <w:lvl w:ilvl="7" w:tplc="A02E732C">
      <w:start w:val="1"/>
      <w:numFmt w:val="lowerLetter"/>
      <w:lvlText w:val="%8."/>
      <w:lvlJc w:val="left"/>
      <w:pPr>
        <w:ind w:left="5549" w:hanging="360"/>
      </w:pPr>
    </w:lvl>
    <w:lvl w:ilvl="8" w:tplc="D7D0DEF8">
      <w:start w:val="1"/>
      <w:numFmt w:val="lowerRoman"/>
      <w:lvlText w:val="%9."/>
      <w:lvlJc w:val="right"/>
      <w:pPr>
        <w:ind w:left="6269" w:hanging="180"/>
      </w:pPr>
    </w:lvl>
  </w:abstractNum>
  <w:abstractNum w:abstractNumId="1" w15:restartNumberingAfterBreak="0">
    <w:nsid w:val="25B5395F"/>
    <w:multiLevelType w:val="hybridMultilevel"/>
    <w:tmpl w:val="A82899A8"/>
    <w:lvl w:ilvl="0" w:tplc="0F0CB084">
      <w:start w:val="2"/>
      <w:numFmt w:val="bullet"/>
      <w:lvlText w:val="-"/>
      <w:lvlJc w:val="left"/>
      <w:pPr>
        <w:ind w:left="869" w:hanging="360"/>
      </w:pPr>
      <w:rPr>
        <w:rFonts w:ascii="Arial" w:eastAsiaTheme="minorHAnsi" w:hAnsi="Arial" w:cs="Arial" w:hint="default"/>
      </w:rPr>
    </w:lvl>
    <w:lvl w:ilvl="1" w:tplc="5D2845BE">
      <w:start w:val="1"/>
      <w:numFmt w:val="bullet"/>
      <w:lvlText w:val="o"/>
      <w:lvlJc w:val="left"/>
      <w:pPr>
        <w:ind w:left="1589" w:hanging="360"/>
      </w:pPr>
      <w:rPr>
        <w:rFonts w:ascii="Courier New" w:hAnsi="Courier New" w:cs="Courier New" w:hint="default"/>
      </w:rPr>
    </w:lvl>
    <w:lvl w:ilvl="2" w:tplc="DBD6445E">
      <w:start w:val="1"/>
      <w:numFmt w:val="bullet"/>
      <w:lvlText w:val=""/>
      <w:lvlJc w:val="left"/>
      <w:pPr>
        <w:ind w:left="2309" w:hanging="360"/>
      </w:pPr>
      <w:rPr>
        <w:rFonts w:ascii="Wingdings" w:hAnsi="Wingdings" w:hint="default"/>
      </w:rPr>
    </w:lvl>
    <w:lvl w:ilvl="3" w:tplc="29F4FDF8">
      <w:start w:val="1"/>
      <w:numFmt w:val="bullet"/>
      <w:lvlText w:val=""/>
      <w:lvlJc w:val="left"/>
      <w:pPr>
        <w:ind w:left="3029" w:hanging="360"/>
      </w:pPr>
      <w:rPr>
        <w:rFonts w:ascii="Symbol" w:hAnsi="Symbol" w:hint="default"/>
      </w:rPr>
    </w:lvl>
    <w:lvl w:ilvl="4" w:tplc="B49AE55A">
      <w:start w:val="1"/>
      <w:numFmt w:val="bullet"/>
      <w:lvlText w:val="o"/>
      <w:lvlJc w:val="left"/>
      <w:pPr>
        <w:ind w:left="3749" w:hanging="360"/>
      </w:pPr>
      <w:rPr>
        <w:rFonts w:ascii="Courier New" w:hAnsi="Courier New" w:cs="Courier New" w:hint="default"/>
      </w:rPr>
    </w:lvl>
    <w:lvl w:ilvl="5" w:tplc="3AE6EC58">
      <w:start w:val="1"/>
      <w:numFmt w:val="bullet"/>
      <w:lvlText w:val=""/>
      <w:lvlJc w:val="left"/>
      <w:pPr>
        <w:ind w:left="4469" w:hanging="360"/>
      </w:pPr>
      <w:rPr>
        <w:rFonts w:ascii="Wingdings" w:hAnsi="Wingdings" w:hint="default"/>
      </w:rPr>
    </w:lvl>
    <w:lvl w:ilvl="6" w:tplc="8A7632CC">
      <w:start w:val="1"/>
      <w:numFmt w:val="bullet"/>
      <w:lvlText w:val=""/>
      <w:lvlJc w:val="left"/>
      <w:pPr>
        <w:ind w:left="5189" w:hanging="360"/>
      </w:pPr>
      <w:rPr>
        <w:rFonts w:ascii="Symbol" w:hAnsi="Symbol" w:hint="default"/>
      </w:rPr>
    </w:lvl>
    <w:lvl w:ilvl="7" w:tplc="18CEEC74">
      <w:start w:val="1"/>
      <w:numFmt w:val="bullet"/>
      <w:lvlText w:val="o"/>
      <w:lvlJc w:val="left"/>
      <w:pPr>
        <w:ind w:left="5909" w:hanging="360"/>
      </w:pPr>
      <w:rPr>
        <w:rFonts w:ascii="Courier New" w:hAnsi="Courier New" w:cs="Courier New" w:hint="default"/>
      </w:rPr>
    </w:lvl>
    <w:lvl w:ilvl="8" w:tplc="CFE64D48">
      <w:start w:val="1"/>
      <w:numFmt w:val="bullet"/>
      <w:lvlText w:val=""/>
      <w:lvlJc w:val="left"/>
      <w:pPr>
        <w:ind w:left="6629" w:hanging="360"/>
      </w:pPr>
      <w:rPr>
        <w:rFonts w:ascii="Wingdings" w:hAnsi="Wingdings" w:hint="default"/>
      </w:rPr>
    </w:lvl>
  </w:abstractNum>
  <w:abstractNum w:abstractNumId="2" w15:restartNumberingAfterBreak="0">
    <w:nsid w:val="277601F9"/>
    <w:multiLevelType w:val="hybridMultilevel"/>
    <w:tmpl w:val="63DC5CA8"/>
    <w:lvl w:ilvl="0" w:tplc="24F65DD8">
      <w:start w:val="1"/>
      <w:numFmt w:val="hebrew1"/>
      <w:lvlText w:val="%1."/>
      <w:lvlJc w:val="left"/>
      <w:pPr>
        <w:ind w:left="869" w:hanging="360"/>
      </w:pPr>
    </w:lvl>
    <w:lvl w:ilvl="1" w:tplc="9B7670D0">
      <w:start w:val="1"/>
      <w:numFmt w:val="lowerLetter"/>
      <w:lvlText w:val="%2."/>
      <w:lvlJc w:val="left"/>
      <w:pPr>
        <w:ind w:left="1589" w:hanging="360"/>
      </w:pPr>
    </w:lvl>
    <w:lvl w:ilvl="2" w:tplc="6100C1DA">
      <w:start w:val="1"/>
      <w:numFmt w:val="lowerRoman"/>
      <w:lvlText w:val="%3."/>
      <w:lvlJc w:val="right"/>
      <w:pPr>
        <w:ind w:left="2309" w:hanging="180"/>
      </w:pPr>
    </w:lvl>
    <w:lvl w:ilvl="3" w:tplc="5CF45550">
      <w:start w:val="1"/>
      <w:numFmt w:val="decimal"/>
      <w:lvlText w:val="%4."/>
      <w:lvlJc w:val="left"/>
      <w:pPr>
        <w:ind w:left="3029" w:hanging="360"/>
      </w:pPr>
    </w:lvl>
    <w:lvl w:ilvl="4" w:tplc="77F67B9E">
      <w:start w:val="1"/>
      <w:numFmt w:val="lowerLetter"/>
      <w:lvlText w:val="%5."/>
      <w:lvlJc w:val="left"/>
      <w:pPr>
        <w:ind w:left="3749" w:hanging="360"/>
      </w:pPr>
    </w:lvl>
    <w:lvl w:ilvl="5" w:tplc="E77E834A">
      <w:start w:val="1"/>
      <w:numFmt w:val="lowerRoman"/>
      <w:lvlText w:val="%6."/>
      <w:lvlJc w:val="right"/>
      <w:pPr>
        <w:ind w:left="4469" w:hanging="180"/>
      </w:pPr>
    </w:lvl>
    <w:lvl w:ilvl="6" w:tplc="1D384168">
      <w:start w:val="1"/>
      <w:numFmt w:val="decimal"/>
      <w:lvlText w:val="%7."/>
      <w:lvlJc w:val="left"/>
      <w:pPr>
        <w:ind w:left="5189" w:hanging="360"/>
      </w:pPr>
    </w:lvl>
    <w:lvl w:ilvl="7" w:tplc="B936CE90">
      <w:start w:val="1"/>
      <w:numFmt w:val="lowerLetter"/>
      <w:lvlText w:val="%8."/>
      <w:lvlJc w:val="left"/>
      <w:pPr>
        <w:ind w:left="5909" w:hanging="360"/>
      </w:pPr>
    </w:lvl>
    <w:lvl w:ilvl="8" w:tplc="2494B568">
      <w:start w:val="1"/>
      <w:numFmt w:val="lowerRoman"/>
      <w:lvlText w:val="%9."/>
      <w:lvlJc w:val="right"/>
      <w:pPr>
        <w:ind w:left="6629" w:hanging="180"/>
      </w:pPr>
    </w:lvl>
  </w:abstractNum>
  <w:abstractNum w:abstractNumId="3" w15:restartNumberingAfterBreak="0">
    <w:nsid w:val="41BA3694"/>
    <w:multiLevelType w:val="hybridMultilevel"/>
    <w:tmpl w:val="C4EAFBB0"/>
    <w:lvl w:ilvl="0" w:tplc="82A44D64">
      <w:start w:val="1"/>
      <w:numFmt w:val="decimal"/>
      <w:pStyle w:val="Style1"/>
      <w:lvlText w:val="%1."/>
      <w:lvlJc w:val="left"/>
      <w:pPr>
        <w:ind w:left="720" w:hanging="360"/>
      </w:pPr>
      <w:rPr>
        <w:rFonts w:cs="Times New Roman"/>
      </w:rPr>
    </w:lvl>
    <w:lvl w:ilvl="1" w:tplc="67DC018E">
      <w:start w:val="1"/>
      <w:numFmt w:val="lowerLetter"/>
      <w:lvlText w:val="%2."/>
      <w:lvlJc w:val="left"/>
      <w:pPr>
        <w:ind w:left="1440" w:hanging="360"/>
      </w:pPr>
      <w:rPr>
        <w:rFonts w:cs="Times New Roman"/>
      </w:rPr>
    </w:lvl>
    <w:lvl w:ilvl="2" w:tplc="0F7083BA">
      <w:start w:val="1"/>
      <w:numFmt w:val="lowerRoman"/>
      <w:lvlText w:val="%3."/>
      <w:lvlJc w:val="right"/>
      <w:pPr>
        <w:ind w:left="2160" w:hanging="180"/>
      </w:pPr>
      <w:rPr>
        <w:rFonts w:cs="Times New Roman"/>
      </w:rPr>
    </w:lvl>
    <w:lvl w:ilvl="3" w:tplc="FC5E402C">
      <w:start w:val="1"/>
      <w:numFmt w:val="decimal"/>
      <w:lvlText w:val="(%4)"/>
      <w:lvlJc w:val="left"/>
      <w:pPr>
        <w:ind w:left="3090" w:hanging="570"/>
      </w:pPr>
      <w:rPr>
        <w:rFonts w:cs="Times New Roman"/>
        <w:b/>
      </w:rPr>
    </w:lvl>
    <w:lvl w:ilvl="4" w:tplc="6ADE4684">
      <w:start w:val="1"/>
      <w:numFmt w:val="hebrew1"/>
      <w:lvlText w:val="(%5)"/>
      <w:lvlJc w:val="left"/>
      <w:pPr>
        <w:ind w:left="3615" w:hanging="375"/>
      </w:pPr>
      <w:rPr>
        <w:rFonts w:cs="Times New Roman"/>
        <w:sz w:val="2"/>
        <w:szCs w:val="24"/>
      </w:rPr>
    </w:lvl>
    <w:lvl w:ilvl="5" w:tplc="94F28870">
      <w:start w:val="1"/>
      <w:numFmt w:val="hebrew1"/>
      <w:lvlText w:val="%6."/>
      <w:lvlJc w:val="left"/>
      <w:pPr>
        <w:ind w:left="4710" w:hanging="570"/>
      </w:pPr>
      <w:rPr>
        <w:rFonts w:cs="Times New Roman"/>
        <w:sz w:val="2"/>
        <w:szCs w:val="24"/>
      </w:rPr>
    </w:lvl>
    <w:lvl w:ilvl="6" w:tplc="CCC08064">
      <w:start w:val="1"/>
      <w:numFmt w:val="bullet"/>
      <w:lvlText w:val="•"/>
      <w:lvlJc w:val="left"/>
      <w:pPr>
        <w:ind w:left="5040" w:hanging="360"/>
      </w:pPr>
      <w:rPr>
        <w:rFonts w:ascii="Times New Roman" w:eastAsia="Times New Roman" w:hAnsi="Times New Roman" w:cs="Times New Roman" w:hint="default"/>
      </w:rPr>
    </w:lvl>
    <w:lvl w:ilvl="7" w:tplc="15E08B90">
      <w:start w:val="1"/>
      <w:numFmt w:val="lowerLetter"/>
      <w:lvlText w:val="%8."/>
      <w:lvlJc w:val="left"/>
      <w:pPr>
        <w:ind w:left="5760" w:hanging="360"/>
      </w:pPr>
      <w:rPr>
        <w:rFonts w:cs="Times New Roman"/>
      </w:rPr>
    </w:lvl>
    <w:lvl w:ilvl="8" w:tplc="B336ADEC">
      <w:start w:val="1"/>
      <w:numFmt w:val="lowerRoman"/>
      <w:lvlText w:val="%9."/>
      <w:lvlJc w:val="right"/>
      <w:pPr>
        <w:ind w:left="6480" w:hanging="180"/>
      </w:pPr>
      <w:rPr>
        <w:rFonts w:cs="Times New Roman"/>
      </w:rPr>
    </w:lvl>
  </w:abstractNum>
  <w:abstractNum w:abstractNumId="4" w15:restartNumberingAfterBreak="0">
    <w:nsid w:val="52CC15F0"/>
    <w:multiLevelType w:val="hybridMultilevel"/>
    <w:tmpl w:val="E4320DF0"/>
    <w:lvl w:ilvl="0" w:tplc="2A205A1C">
      <w:start w:val="2"/>
      <w:numFmt w:val="bullet"/>
      <w:lvlText w:val="–"/>
      <w:lvlJc w:val="left"/>
      <w:pPr>
        <w:ind w:left="869" w:hanging="360"/>
      </w:pPr>
      <w:rPr>
        <w:rFonts w:ascii="David" w:eastAsiaTheme="minorHAnsi" w:hAnsi="David" w:cs="David" w:hint="default"/>
      </w:rPr>
    </w:lvl>
    <w:lvl w:ilvl="1" w:tplc="4B14CD9C">
      <w:start w:val="1"/>
      <w:numFmt w:val="bullet"/>
      <w:lvlText w:val="o"/>
      <w:lvlJc w:val="left"/>
      <w:pPr>
        <w:ind w:left="1589" w:hanging="360"/>
      </w:pPr>
      <w:rPr>
        <w:rFonts w:ascii="Courier New" w:hAnsi="Courier New" w:cs="Courier New" w:hint="default"/>
      </w:rPr>
    </w:lvl>
    <w:lvl w:ilvl="2" w:tplc="61489264">
      <w:start w:val="1"/>
      <w:numFmt w:val="bullet"/>
      <w:lvlText w:val=""/>
      <w:lvlJc w:val="left"/>
      <w:pPr>
        <w:ind w:left="2309" w:hanging="360"/>
      </w:pPr>
      <w:rPr>
        <w:rFonts w:ascii="Wingdings" w:hAnsi="Wingdings" w:hint="default"/>
      </w:rPr>
    </w:lvl>
    <w:lvl w:ilvl="3" w:tplc="8098CC98">
      <w:start w:val="1"/>
      <w:numFmt w:val="bullet"/>
      <w:lvlText w:val=""/>
      <w:lvlJc w:val="left"/>
      <w:pPr>
        <w:ind w:left="3029" w:hanging="360"/>
      </w:pPr>
      <w:rPr>
        <w:rFonts w:ascii="Symbol" w:hAnsi="Symbol" w:hint="default"/>
      </w:rPr>
    </w:lvl>
    <w:lvl w:ilvl="4" w:tplc="A122059E">
      <w:start w:val="1"/>
      <w:numFmt w:val="bullet"/>
      <w:lvlText w:val="o"/>
      <w:lvlJc w:val="left"/>
      <w:pPr>
        <w:ind w:left="3749" w:hanging="360"/>
      </w:pPr>
      <w:rPr>
        <w:rFonts w:ascii="Courier New" w:hAnsi="Courier New" w:cs="Courier New" w:hint="default"/>
      </w:rPr>
    </w:lvl>
    <w:lvl w:ilvl="5" w:tplc="E2AA232C">
      <w:start w:val="1"/>
      <w:numFmt w:val="bullet"/>
      <w:lvlText w:val=""/>
      <w:lvlJc w:val="left"/>
      <w:pPr>
        <w:ind w:left="4469" w:hanging="360"/>
      </w:pPr>
      <w:rPr>
        <w:rFonts w:ascii="Wingdings" w:hAnsi="Wingdings" w:hint="default"/>
      </w:rPr>
    </w:lvl>
    <w:lvl w:ilvl="6" w:tplc="A768AEB0">
      <w:start w:val="1"/>
      <w:numFmt w:val="bullet"/>
      <w:lvlText w:val=""/>
      <w:lvlJc w:val="left"/>
      <w:pPr>
        <w:ind w:left="5189" w:hanging="360"/>
      </w:pPr>
      <w:rPr>
        <w:rFonts w:ascii="Symbol" w:hAnsi="Symbol" w:hint="default"/>
      </w:rPr>
    </w:lvl>
    <w:lvl w:ilvl="7" w:tplc="1D5CB862">
      <w:start w:val="1"/>
      <w:numFmt w:val="bullet"/>
      <w:lvlText w:val="o"/>
      <w:lvlJc w:val="left"/>
      <w:pPr>
        <w:ind w:left="5909" w:hanging="360"/>
      </w:pPr>
      <w:rPr>
        <w:rFonts w:ascii="Courier New" w:hAnsi="Courier New" w:cs="Courier New" w:hint="default"/>
      </w:rPr>
    </w:lvl>
    <w:lvl w:ilvl="8" w:tplc="292C093C">
      <w:start w:val="1"/>
      <w:numFmt w:val="bullet"/>
      <w:lvlText w:val=""/>
      <w:lvlJc w:val="left"/>
      <w:pPr>
        <w:ind w:left="6629" w:hanging="360"/>
      </w:pPr>
      <w:rPr>
        <w:rFonts w:ascii="Wingdings" w:hAnsi="Wingdings" w:hint="default"/>
      </w:rPr>
    </w:lvl>
  </w:abstractNum>
  <w:abstractNum w:abstractNumId="5" w15:restartNumberingAfterBreak="0">
    <w:nsid w:val="686B174C"/>
    <w:multiLevelType w:val="hybridMultilevel"/>
    <w:tmpl w:val="63DC5CA8"/>
    <w:lvl w:ilvl="0" w:tplc="98D6C808">
      <w:start w:val="1"/>
      <w:numFmt w:val="hebrew1"/>
      <w:lvlText w:val="%1."/>
      <w:lvlJc w:val="left"/>
      <w:pPr>
        <w:ind w:left="869" w:hanging="360"/>
      </w:pPr>
    </w:lvl>
    <w:lvl w:ilvl="1" w:tplc="6E8C5210">
      <w:start w:val="1"/>
      <w:numFmt w:val="lowerLetter"/>
      <w:lvlText w:val="%2."/>
      <w:lvlJc w:val="left"/>
      <w:pPr>
        <w:ind w:left="1589" w:hanging="360"/>
      </w:pPr>
    </w:lvl>
    <w:lvl w:ilvl="2" w:tplc="C0260916">
      <w:start w:val="1"/>
      <w:numFmt w:val="lowerRoman"/>
      <w:lvlText w:val="%3."/>
      <w:lvlJc w:val="right"/>
      <w:pPr>
        <w:ind w:left="2309" w:hanging="180"/>
      </w:pPr>
    </w:lvl>
    <w:lvl w:ilvl="3" w:tplc="04EAD360">
      <w:start w:val="1"/>
      <w:numFmt w:val="decimal"/>
      <w:lvlText w:val="%4."/>
      <w:lvlJc w:val="left"/>
      <w:pPr>
        <w:ind w:left="3029" w:hanging="360"/>
      </w:pPr>
    </w:lvl>
    <w:lvl w:ilvl="4" w:tplc="BDDC3DCA">
      <w:start w:val="1"/>
      <w:numFmt w:val="lowerLetter"/>
      <w:lvlText w:val="%5."/>
      <w:lvlJc w:val="left"/>
      <w:pPr>
        <w:ind w:left="3749" w:hanging="360"/>
      </w:pPr>
    </w:lvl>
    <w:lvl w:ilvl="5" w:tplc="CEEE3FEC">
      <w:start w:val="1"/>
      <w:numFmt w:val="lowerRoman"/>
      <w:lvlText w:val="%6."/>
      <w:lvlJc w:val="right"/>
      <w:pPr>
        <w:ind w:left="4469" w:hanging="180"/>
      </w:pPr>
    </w:lvl>
    <w:lvl w:ilvl="6" w:tplc="D2246A38">
      <w:start w:val="1"/>
      <w:numFmt w:val="decimal"/>
      <w:lvlText w:val="%7."/>
      <w:lvlJc w:val="left"/>
      <w:pPr>
        <w:ind w:left="5189" w:hanging="360"/>
      </w:pPr>
    </w:lvl>
    <w:lvl w:ilvl="7" w:tplc="4F4A42B6">
      <w:start w:val="1"/>
      <w:numFmt w:val="lowerLetter"/>
      <w:lvlText w:val="%8."/>
      <w:lvlJc w:val="left"/>
      <w:pPr>
        <w:ind w:left="5909" w:hanging="360"/>
      </w:pPr>
    </w:lvl>
    <w:lvl w:ilvl="8" w:tplc="B636E454">
      <w:start w:val="1"/>
      <w:numFmt w:val="lowerRoman"/>
      <w:lvlText w:val="%9."/>
      <w:lvlJc w:val="right"/>
      <w:pPr>
        <w:ind w:left="6629" w:hanging="180"/>
      </w:pPr>
    </w:lvl>
  </w:abstractNum>
  <w:abstractNum w:abstractNumId="6" w15:restartNumberingAfterBreak="0">
    <w:nsid w:val="69F05CC4"/>
    <w:multiLevelType w:val="hybridMultilevel"/>
    <w:tmpl w:val="396AFB5E"/>
    <w:lvl w:ilvl="0" w:tplc="8356DAC0">
      <w:start w:val="2"/>
      <w:numFmt w:val="bullet"/>
      <w:lvlText w:val="-"/>
      <w:lvlJc w:val="left"/>
      <w:pPr>
        <w:ind w:left="869" w:hanging="360"/>
      </w:pPr>
      <w:rPr>
        <w:rFonts w:ascii="David" w:eastAsiaTheme="minorHAnsi" w:hAnsi="David" w:cs="David" w:hint="default"/>
      </w:rPr>
    </w:lvl>
    <w:lvl w:ilvl="1" w:tplc="81B22182">
      <w:start w:val="1"/>
      <w:numFmt w:val="bullet"/>
      <w:lvlText w:val="o"/>
      <w:lvlJc w:val="left"/>
      <w:pPr>
        <w:ind w:left="1589" w:hanging="360"/>
      </w:pPr>
      <w:rPr>
        <w:rFonts w:ascii="Courier New" w:hAnsi="Courier New" w:cs="Courier New" w:hint="default"/>
      </w:rPr>
    </w:lvl>
    <w:lvl w:ilvl="2" w:tplc="F3EE7D74">
      <w:start w:val="1"/>
      <w:numFmt w:val="bullet"/>
      <w:lvlText w:val=""/>
      <w:lvlJc w:val="left"/>
      <w:pPr>
        <w:ind w:left="2309" w:hanging="360"/>
      </w:pPr>
      <w:rPr>
        <w:rFonts w:ascii="Wingdings" w:hAnsi="Wingdings" w:hint="default"/>
      </w:rPr>
    </w:lvl>
    <w:lvl w:ilvl="3" w:tplc="6DAAAF02">
      <w:start w:val="1"/>
      <w:numFmt w:val="bullet"/>
      <w:lvlText w:val=""/>
      <w:lvlJc w:val="left"/>
      <w:pPr>
        <w:ind w:left="3029" w:hanging="360"/>
      </w:pPr>
      <w:rPr>
        <w:rFonts w:ascii="Symbol" w:hAnsi="Symbol" w:hint="default"/>
      </w:rPr>
    </w:lvl>
    <w:lvl w:ilvl="4" w:tplc="720821A2">
      <w:start w:val="1"/>
      <w:numFmt w:val="bullet"/>
      <w:lvlText w:val="o"/>
      <w:lvlJc w:val="left"/>
      <w:pPr>
        <w:ind w:left="3749" w:hanging="360"/>
      </w:pPr>
      <w:rPr>
        <w:rFonts w:ascii="Courier New" w:hAnsi="Courier New" w:cs="Courier New" w:hint="default"/>
      </w:rPr>
    </w:lvl>
    <w:lvl w:ilvl="5" w:tplc="AB9E387C">
      <w:start w:val="1"/>
      <w:numFmt w:val="bullet"/>
      <w:lvlText w:val=""/>
      <w:lvlJc w:val="left"/>
      <w:pPr>
        <w:ind w:left="4469" w:hanging="360"/>
      </w:pPr>
      <w:rPr>
        <w:rFonts w:ascii="Wingdings" w:hAnsi="Wingdings" w:hint="default"/>
      </w:rPr>
    </w:lvl>
    <w:lvl w:ilvl="6" w:tplc="6F929B50">
      <w:start w:val="1"/>
      <w:numFmt w:val="bullet"/>
      <w:lvlText w:val=""/>
      <w:lvlJc w:val="left"/>
      <w:pPr>
        <w:ind w:left="5189" w:hanging="360"/>
      </w:pPr>
      <w:rPr>
        <w:rFonts w:ascii="Symbol" w:hAnsi="Symbol" w:hint="default"/>
      </w:rPr>
    </w:lvl>
    <w:lvl w:ilvl="7" w:tplc="E776201A">
      <w:start w:val="1"/>
      <w:numFmt w:val="bullet"/>
      <w:lvlText w:val="o"/>
      <w:lvlJc w:val="left"/>
      <w:pPr>
        <w:ind w:left="5909" w:hanging="360"/>
      </w:pPr>
      <w:rPr>
        <w:rFonts w:ascii="Courier New" w:hAnsi="Courier New" w:cs="Courier New" w:hint="default"/>
      </w:rPr>
    </w:lvl>
    <w:lvl w:ilvl="8" w:tplc="F94A3A0A">
      <w:start w:val="1"/>
      <w:numFmt w:val="bullet"/>
      <w:lvlText w:val=""/>
      <w:lvlJc w:val="left"/>
      <w:pPr>
        <w:ind w:left="6629" w:hanging="360"/>
      </w:pPr>
      <w:rPr>
        <w:rFonts w:ascii="Wingdings" w:hAnsi="Wingdings" w:hint="default"/>
      </w:rPr>
    </w:lvl>
  </w:abstractNum>
  <w:abstractNum w:abstractNumId="7" w15:restartNumberingAfterBreak="0">
    <w:nsid w:val="6E7263D2"/>
    <w:multiLevelType w:val="hybridMultilevel"/>
    <w:tmpl w:val="737A962A"/>
    <w:lvl w:ilvl="0" w:tplc="5F12AF42">
      <w:start w:val="1"/>
      <w:numFmt w:val="decimal"/>
      <w:lvlText w:val="%1."/>
      <w:lvlJc w:val="left"/>
      <w:pPr>
        <w:ind w:left="720" w:hanging="360"/>
      </w:pPr>
    </w:lvl>
    <w:lvl w:ilvl="1" w:tplc="EEAE20F0">
      <w:start w:val="1"/>
      <w:numFmt w:val="lowerLetter"/>
      <w:lvlText w:val="%2."/>
      <w:lvlJc w:val="left"/>
      <w:pPr>
        <w:ind w:left="1440" w:hanging="360"/>
      </w:pPr>
    </w:lvl>
    <w:lvl w:ilvl="2" w:tplc="18C8FA18">
      <w:start w:val="1"/>
      <w:numFmt w:val="lowerRoman"/>
      <w:lvlText w:val="%3."/>
      <w:lvlJc w:val="right"/>
      <w:pPr>
        <w:ind w:left="2160" w:hanging="180"/>
      </w:pPr>
    </w:lvl>
    <w:lvl w:ilvl="3" w:tplc="0B145B6C">
      <w:start w:val="1"/>
      <w:numFmt w:val="decimal"/>
      <w:lvlText w:val="%4."/>
      <w:lvlJc w:val="left"/>
      <w:pPr>
        <w:ind w:left="2880" w:hanging="360"/>
      </w:pPr>
    </w:lvl>
    <w:lvl w:ilvl="4" w:tplc="ABBE108C">
      <w:start w:val="1"/>
      <w:numFmt w:val="lowerLetter"/>
      <w:lvlText w:val="%5."/>
      <w:lvlJc w:val="left"/>
      <w:pPr>
        <w:ind w:left="3600" w:hanging="360"/>
      </w:pPr>
    </w:lvl>
    <w:lvl w:ilvl="5" w:tplc="3956EF84">
      <w:start w:val="1"/>
      <w:numFmt w:val="lowerRoman"/>
      <w:lvlText w:val="%6."/>
      <w:lvlJc w:val="right"/>
      <w:pPr>
        <w:ind w:left="4320" w:hanging="180"/>
      </w:pPr>
    </w:lvl>
    <w:lvl w:ilvl="6" w:tplc="2DD6B026">
      <w:start w:val="1"/>
      <w:numFmt w:val="decimal"/>
      <w:lvlText w:val="%7."/>
      <w:lvlJc w:val="left"/>
      <w:pPr>
        <w:ind w:left="5040" w:hanging="360"/>
      </w:pPr>
    </w:lvl>
    <w:lvl w:ilvl="7" w:tplc="35BE0562">
      <w:start w:val="1"/>
      <w:numFmt w:val="lowerLetter"/>
      <w:lvlText w:val="%8."/>
      <w:lvlJc w:val="left"/>
      <w:pPr>
        <w:ind w:left="5760" w:hanging="360"/>
      </w:pPr>
    </w:lvl>
    <w:lvl w:ilvl="8" w:tplc="F65CD068">
      <w:start w:val="1"/>
      <w:numFmt w:val="lowerRoman"/>
      <w:lvlText w:val="%9."/>
      <w:lvlJc w:val="right"/>
      <w:pPr>
        <w:ind w:left="6480" w:hanging="18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lvlOverride w:ilvl="7">
      <w:startOverride w:val="1"/>
    </w:lvlOverride>
    <w:lvlOverride w:ilvl="8">
      <w:startOverride w:val="1"/>
    </w:lvlOverride>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6"/>
  </w:num>
  <w:num w:numId="7">
    <w:abstractNumId w:val="1"/>
  </w:num>
  <w:num w:numId="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86379"/>
    <w:rsid w:val="000A6D88"/>
    <w:rsid w:val="00102145"/>
    <w:rsid w:val="00146D47"/>
    <w:rsid w:val="00163949"/>
    <w:rsid w:val="001A771C"/>
    <w:rsid w:val="001C0A15"/>
    <w:rsid w:val="001F33B5"/>
    <w:rsid w:val="00265648"/>
    <w:rsid w:val="002914D6"/>
    <w:rsid w:val="002B3219"/>
    <w:rsid w:val="002C6CDB"/>
    <w:rsid w:val="002E1FFF"/>
    <w:rsid w:val="002F5307"/>
    <w:rsid w:val="003135B3"/>
    <w:rsid w:val="00353984"/>
    <w:rsid w:val="003B5ABD"/>
    <w:rsid w:val="004D11E6"/>
    <w:rsid w:val="004E516A"/>
    <w:rsid w:val="00507BA5"/>
    <w:rsid w:val="00580552"/>
    <w:rsid w:val="005B0D4D"/>
    <w:rsid w:val="005E06AE"/>
    <w:rsid w:val="005F439B"/>
    <w:rsid w:val="006508B6"/>
    <w:rsid w:val="00666802"/>
    <w:rsid w:val="00674B74"/>
    <w:rsid w:val="006A6906"/>
    <w:rsid w:val="006C4051"/>
    <w:rsid w:val="007519E6"/>
    <w:rsid w:val="00786EDE"/>
    <w:rsid w:val="007B1559"/>
    <w:rsid w:val="007C1077"/>
    <w:rsid w:val="007C6BD7"/>
    <w:rsid w:val="0081753D"/>
    <w:rsid w:val="00822AA5"/>
    <w:rsid w:val="00824B40"/>
    <w:rsid w:val="00826C69"/>
    <w:rsid w:val="008A4988"/>
    <w:rsid w:val="008B0E6A"/>
    <w:rsid w:val="0091072C"/>
    <w:rsid w:val="009108D7"/>
    <w:rsid w:val="009E7409"/>
    <w:rsid w:val="00A348DB"/>
    <w:rsid w:val="00A4448E"/>
    <w:rsid w:val="00A63D60"/>
    <w:rsid w:val="00A76863"/>
    <w:rsid w:val="00A86B70"/>
    <w:rsid w:val="00AD06AC"/>
    <w:rsid w:val="00AF07A2"/>
    <w:rsid w:val="00B26E8A"/>
    <w:rsid w:val="00BC47AF"/>
    <w:rsid w:val="00BD18F5"/>
    <w:rsid w:val="00BD5B6B"/>
    <w:rsid w:val="00BE2AB3"/>
    <w:rsid w:val="00C32990"/>
    <w:rsid w:val="00C40239"/>
    <w:rsid w:val="00C931BD"/>
    <w:rsid w:val="00CA6B1F"/>
    <w:rsid w:val="00CE2ED4"/>
    <w:rsid w:val="00D358FE"/>
    <w:rsid w:val="00D54B3A"/>
    <w:rsid w:val="00E638D5"/>
    <w:rsid w:val="00E9298F"/>
    <w:rsid w:val="00F50E07"/>
    <w:rsid w:val="00F52D15"/>
    <w:rsid w:val="00F706EB"/>
    <w:rsid w:val="00FB024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463FA11-FC87-41D4-BEEF-8FE1B643EC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paragraph" w:styleId="7">
    <w:name w:val="heading 7"/>
    <w:basedOn w:val="a"/>
    <w:next w:val="a"/>
    <w:link w:val="70"/>
    <w:semiHidden/>
    <w:unhideWhenUsed/>
    <w:qFormat/>
    <w:rsid w:val="00A76863"/>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semiHidden/>
    <w:unhideWhenUsed/>
    <w:rsid w:val="00A76863"/>
    <w:rPr>
      <w:color w:val="0000FF"/>
      <w:u w:val="single"/>
    </w:rPr>
  </w:style>
  <w:style w:type="paragraph" w:styleId="2">
    <w:name w:val="Body Text Indent 2"/>
    <w:basedOn w:val="a"/>
    <w:link w:val="20"/>
    <w:semiHidden/>
    <w:unhideWhenUsed/>
    <w:rsid w:val="00A76863"/>
    <w:pPr>
      <w:spacing w:line="360" w:lineRule="auto"/>
      <w:ind w:left="720"/>
      <w:jc w:val="both"/>
    </w:pPr>
    <w:rPr>
      <w:rFonts w:ascii="Arial" w:hAnsi="Arial"/>
      <w:noProof w:val="0"/>
      <w:lang w:eastAsia="he-IL"/>
    </w:rPr>
  </w:style>
  <w:style w:type="character" w:customStyle="1" w:styleId="20">
    <w:name w:val="כניסה בגוף טקסט 2 תו"/>
    <w:basedOn w:val="a0"/>
    <w:link w:val="2"/>
    <w:semiHidden/>
    <w:rsid w:val="00A76863"/>
    <w:rPr>
      <w:rFonts w:ascii="Arial" w:hAnsi="Arial" w:cs="David"/>
      <w:sz w:val="24"/>
      <w:szCs w:val="24"/>
      <w:lang w:eastAsia="he-IL"/>
    </w:rPr>
  </w:style>
  <w:style w:type="paragraph" w:styleId="ad">
    <w:name w:val="List Paragraph"/>
    <w:basedOn w:val="a"/>
    <w:uiPriority w:val="99"/>
    <w:qFormat/>
    <w:rsid w:val="00A76863"/>
    <w:pPr>
      <w:spacing w:after="160" w:line="256" w:lineRule="auto"/>
      <w:ind w:left="720"/>
      <w:contextualSpacing/>
    </w:pPr>
    <w:rPr>
      <w:rFonts w:asciiTheme="minorHAnsi" w:eastAsiaTheme="minorHAnsi" w:hAnsiTheme="minorHAnsi" w:cstheme="minorBidi"/>
      <w:noProof w:val="0"/>
      <w:sz w:val="22"/>
      <w:szCs w:val="22"/>
    </w:rPr>
  </w:style>
  <w:style w:type="character" w:customStyle="1" w:styleId="QuoteChar">
    <w:name w:val="Quote Char"/>
    <w:link w:val="1"/>
    <w:locked/>
    <w:rsid w:val="00A76863"/>
    <w:rPr>
      <w:b/>
      <w:sz w:val="24"/>
      <w:lang w:val="x-none" w:eastAsia="he-IL"/>
    </w:rPr>
  </w:style>
  <w:style w:type="paragraph" w:customStyle="1" w:styleId="1">
    <w:name w:val="ציטוט1"/>
    <w:basedOn w:val="7"/>
    <w:link w:val="QuoteChar"/>
    <w:qFormat/>
    <w:rsid w:val="00A76863"/>
    <w:pPr>
      <w:keepLines w:val="0"/>
      <w:spacing w:before="0" w:after="240"/>
      <w:ind w:left="1361" w:right="1021"/>
      <w:jc w:val="both"/>
    </w:pPr>
    <w:rPr>
      <w:rFonts w:ascii="Times New Roman" w:eastAsia="Times New Roman" w:hAnsi="Times New Roman" w:cs="Times New Roman"/>
      <w:b/>
      <w:i w:val="0"/>
      <w:iCs w:val="0"/>
      <w:noProof w:val="0"/>
      <w:color w:val="auto"/>
      <w:szCs w:val="20"/>
      <w:lang w:val="x-none" w:eastAsia="he-IL"/>
    </w:rPr>
  </w:style>
  <w:style w:type="character" w:customStyle="1" w:styleId="Style1Char">
    <w:name w:val="Style1 Char"/>
    <w:link w:val="Style1"/>
    <w:locked/>
    <w:rsid w:val="00A76863"/>
    <w:rPr>
      <w:rFonts w:ascii="David" w:hAnsi="David" w:cs="David"/>
      <w:sz w:val="24"/>
      <w:szCs w:val="24"/>
    </w:rPr>
  </w:style>
  <w:style w:type="paragraph" w:customStyle="1" w:styleId="Style1">
    <w:name w:val="Style1"/>
    <w:basedOn w:val="a"/>
    <w:link w:val="Style1Char"/>
    <w:rsid w:val="00A76863"/>
    <w:pPr>
      <w:numPr>
        <w:numId w:val="1"/>
      </w:numPr>
      <w:tabs>
        <w:tab w:val="left" w:pos="567"/>
      </w:tabs>
      <w:spacing w:after="240" w:line="360" w:lineRule="auto"/>
      <w:jc w:val="both"/>
    </w:pPr>
    <w:rPr>
      <w:rFonts w:ascii="David" w:hAnsi="David"/>
      <w:noProof w:val="0"/>
    </w:rPr>
  </w:style>
  <w:style w:type="character" w:customStyle="1" w:styleId="70">
    <w:name w:val="כותרת 7 תו"/>
    <w:basedOn w:val="a0"/>
    <w:link w:val="7"/>
    <w:semiHidden/>
    <w:rsid w:val="00A76863"/>
    <w:rPr>
      <w:rFonts w:asciiTheme="majorHAnsi" w:eastAsiaTheme="majorEastAsia" w:hAnsiTheme="majorHAnsi" w:cstheme="majorBidi"/>
      <w:i/>
      <w:iCs/>
      <w:noProof/>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54226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glossaryDocument" Target="glossary/document.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header" Target="head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31A55F6979184A8EB6F607B634EEB644"/>
        <w:category>
          <w:name w:val="כללי"/>
          <w:gallery w:val="placeholder"/>
        </w:category>
        <w:types>
          <w:type w:val="bbPlcHdr"/>
        </w:types>
        <w:behaviors>
          <w:behavior w:val="content"/>
        </w:behaviors>
        <w:guid w:val="{26665E1D-3EB0-4F1B-800A-C360F03F9243}"/>
      </w:docPartPr>
      <w:docPartBody>
        <w:p w:rsidR="0066762B" w:rsidRDefault="00A32E59" w:rsidP="00A32E59">
          <w:pPr>
            <w:pStyle w:val="31A55F6979184A8EB6F607B634EEB644"/>
          </w:pPr>
          <w:r>
            <w:rPr>
              <w:rStyle w:val="a3"/>
              <w:rtl/>
            </w:rPr>
            <w:t>תאור קבוצת שייכות צד א</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467C"/>
    <w:rsid w:val="00277BB9"/>
    <w:rsid w:val="0066762B"/>
    <w:rsid w:val="006D467C"/>
    <w:rsid w:val="00A32E59"/>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A32E59"/>
    <w:rPr>
      <w:color w:val="808080"/>
    </w:rPr>
  </w:style>
  <w:style w:type="paragraph" w:customStyle="1" w:styleId="74F4FB2CF95348B59BF3960367969FED">
    <w:name w:val="74F4FB2CF95348B59BF3960367969FED"/>
    <w:rsid w:val="006D467C"/>
    <w:pPr>
      <w:bidi/>
    </w:pPr>
  </w:style>
  <w:style w:type="paragraph" w:customStyle="1" w:styleId="31A55F6979184A8EB6F607B634EEB644">
    <w:name w:val="31A55F6979184A8EB6F607B634EEB644"/>
    <w:rsid w:val="00A32E59"/>
    <w:pPr>
      <w:bidi/>
      <w:spacing w:after="0" w:line="240" w:lineRule="auto"/>
    </w:pPr>
    <w:rPr>
      <w:rFonts w:ascii="Times New Roman" w:eastAsia="Times New Roman" w:hAnsi="Times New Roman" w:cs="David"/>
      <w:noProof/>
      <w:sz w:val="24"/>
      <w:szCs w:val="24"/>
    </w:rPr>
  </w:style>
  <w:style w:type="paragraph" w:customStyle="1" w:styleId="FA8313722632438DBA3F8DDF6CE94B00">
    <w:name w:val="FA8313722632438DBA3F8DDF6CE94B00"/>
    <w:rsid w:val="00A32E59"/>
    <w:pPr>
      <w:bidi/>
      <w:spacing w:after="0" w:line="240" w:lineRule="auto"/>
    </w:pPr>
    <w:rPr>
      <w:rFonts w:ascii="Times New Roman" w:eastAsia="Times New Roman" w:hAnsi="Times New Roman" w:cs="David"/>
      <w:noProof/>
      <w:sz w:val="24"/>
      <w:szCs w:val="24"/>
    </w:rPr>
  </w:style>
  <w:style w:type="paragraph" w:customStyle="1" w:styleId="BDB85E55B5444DEDA09DBF078D56ECE4">
    <w:name w:val="BDB85E55B5444DEDA09DBF078D56ECE4"/>
    <w:rsid w:val="00A32E59"/>
    <w:pPr>
      <w:bidi/>
      <w:spacing w:after="0" w:line="240" w:lineRule="auto"/>
    </w:pPr>
    <w:rPr>
      <w:rFonts w:ascii="Times New Roman" w:eastAsia="Times New Roman" w:hAnsi="Times New Roman" w:cs="David"/>
      <w:noProof/>
      <w:sz w:val="24"/>
      <w:szCs w:val="24"/>
    </w:rPr>
  </w:style>
  <w:style w:type="paragraph" w:customStyle="1" w:styleId="5259D823C6B44ADA8B2A292E3B2A94E6">
    <w:name w:val="5259D823C6B44ADA8B2A292E3B2A94E6"/>
    <w:rsid w:val="00A32E59"/>
    <w:pPr>
      <w:bidi/>
      <w:spacing w:after="0" w:line="240" w:lineRule="auto"/>
    </w:pPr>
    <w:rPr>
      <w:rFonts w:ascii="Times New Roman" w:eastAsia="Times New Roman" w:hAnsi="Times New Roman" w:cs="David"/>
      <w:noProof/>
      <w:sz w:val="24"/>
      <w:szCs w:val="24"/>
    </w:rPr>
  </w:style>
  <w:style w:type="paragraph" w:customStyle="1" w:styleId="0CEA055AE3C64050B29C1AFAA5678CDC">
    <w:name w:val="0CEA055AE3C64050B29C1AFAA5678CDC"/>
    <w:rsid w:val="00A32E59"/>
    <w:pPr>
      <w:bidi/>
      <w:spacing w:after="0" w:line="240" w:lineRule="auto"/>
    </w:pPr>
    <w:rPr>
      <w:rFonts w:ascii="Times New Roman" w:eastAsia="Times New Roman" w:hAnsi="Times New Roman" w:cs="David"/>
      <w:noProof/>
      <w:sz w:val="24"/>
      <w:szCs w:val="24"/>
    </w:rPr>
  </w:style>
  <w:style w:type="paragraph" w:customStyle="1" w:styleId="A06E5AF3304548BBBC3745199020A771">
    <w:name w:val="A06E5AF3304548BBBC3745199020A771"/>
    <w:rsid w:val="00A32E59"/>
    <w:pPr>
      <w:bidi/>
      <w:spacing w:after="0" w:line="240" w:lineRule="auto"/>
    </w:pPr>
    <w:rPr>
      <w:rFonts w:ascii="Times New Roman" w:eastAsia="Times New Roman" w:hAnsi="Times New Roman" w:cs="David"/>
      <w:noProof/>
      <w:sz w:val="24"/>
      <w:szCs w:val="24"/>
    </w:rPr>
  </w:style>
  <w:style w:type="paragraph" w:customStyle="1" w:styleId="535EC06F1D0E4B98822774B2F43BA2FE">
    <w:name w:val="535EC06F1D0E4B98822774B2F43BA2FE"/>
    <w:rsid w:val="00A32E59"/>
    <w:pPr>
      <w:bidi/>
      <w:spacing w:after="0" w:line="240" w:lineRule="auto"/>
    </w:pPr>
    <w:rPr>
      <w:rFonts w:ascii="Times New Roman" w:eastAsia="Times New Roman" w:hAnsi="Times New Roman" w:cs="David"/>
      <w:noProof/>
      <w:sz w:val="24"/>
      <w:szCs w:val="24"/>
    </w:rPr>
  </w:style>
  <w:style w:type="paragraph" w:customStyle="1" w:styleId="A9F9ABAB6AFA4E26A52DE8212894F7B8">
    <w:name w:val="A9F9ABAB6AFA4E26A52DE8212894F7B8"/>
    <w:rsid w:val="00A32E59"/>
    <w:pPr>
      <w:bidi/>
      <w:spacing w:after="0" w:line="240" w:lineRule="auto"/>
    </w:pPr>
    <w:rPr>
      <w:rFonts w:ascii="Times New Roman" w:eastAsia="Times New Roman" w:hAnsi="Times New Roman" w:cs="David"/>
      <w:noProof/>
      <w:sz w:val="24"/>
      <w:szCs w:val="24"/>
    </w:rPr>
  </w:style>
  <w:style w:type="paragraph" w:customStyle="1" w:styleId="907FEBE889B348ABB58392925359E631">
    <w:name w:val="907FEBE889B348ABB58392925359E631"/>
    <w:rsid w:val="00A32E5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A2F872-6097-4E93-9683-B74B3902A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27</Pages>
  <Words>8470</Words>
  <Characters>42352</Characters>
  <Application>Microsoft Office Word</Application>
  <DocSecurity>4</DocSecurity>
  <Lines>352</Lines>
  <Paragraphs>101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50721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גרמאו מנגיסטו</cp:lastModifiedBy>
  <cp:revision>2</cp:revision>
  <dcterms:created xsi:type="dcterms:W3CDTF">2023-08-13T13:55:00Z</dcterms:created>
  <dcterms:modified xsi:type="dcterms:W3CDTF">2023-08-13T13:55:00Z</dcterms:modified>
</cp:coreProperties>
</file>